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C2" w:rsidRPr="00596AAB" w:rsidRDefault="00F312C2" w:rsidP="00F312C2">
      <w:pPr>
        <w:spacing w:line="360" w:lineRule="auto"/>
        <w:rPr>
          <w:rFonts w:ascii="Arial" w:eastAsia="Calibri" w:hAnsi="Arial" w:cs="Arial"/>
          <w:b/>
          <w:bCs/>
          <w:sz w:val="24"/>
          <w:szCs w:val="24"/>
          <w:u w:val="single"/>
        </w:rPr>
      </w:pPr>
      <w:r w:rsidRPr="00596AAB">
        <w:rPr>
          <w:rFonts w:ascii="Arial" w:eastAsia="Calibri" w:hAnsi="Arial" w:cs="Arial"/>
          <w:b/>
          <w:bCs/>
          <w:sz w:val="24"/>
          <w:szCs w:val="24"/>
          <w:u w:val="single"/>
        </w:rPr>
        <w:t>Appendix 1:</w:t>
      </w:r>
    </w:p>
    <w:p w:rsidR="00F312C2" w:rsidRPr="00596AAB" w:rsidRDefault="00F312C2" w:rsidP="00F312C2">
      <w:pPr>
        <w:spacing w:line="240" w:lineRule="auto"/>
        <w:contextualSpacing/>
        <w:jc w:val="both"/>
        <w:rPr>
          <w:rFonts w:ascii="Arial" w:eastAsia="Calibri" w:hAnsi="Arial" w:cs="Arial"/>
          <w:b/>
          <w:bCs/>
          <w:sz w:val="24"/>
          <w:szCs w:val="24"/>
        </w:rPr>
      </w:pPr>
    </w:p>
    <w:p w:rsidR="00F312C2" w:rsidRPr="00596AAB" w:rsidRDefault="00F312C2" w:rsidP="00F312C2">
      <w:pPr>
        <w:spacing w:line="360" w:lineRule="auto"/>
        <w:contextualSpacing/>
        <w:jc w:val="both"/>
        <w:rPr>
          <w:rFonts w:ascii="Arial" w:eastAsia="Calibri" w:hAnsi="Arial" w:cs="Arial"/>
          <w:b/>
          <w:sz w:val="24"/>
          <w:szCs w:val="24"/>
          <w:u w:val="single"/>
        </w:rPr>
      </w:pPr>
      <w:r w:rsidRPr="00596AAB">
        <w:rPr>
          <w:rFonts w:ascii="Arial" w:eastAsia="Calibri" w:hAnsi="Arial" w:cs="Arial"/>
          <w:b/>
          <w:sz w:val="24"/>
          <w:szCs w:val="24"/>
          <w:u w:val="single"/>
        </w:rPr>
        <w:t>Measure 1: Support for Schools/Community Safety Measures</w:t>
      </w:r>
    </w:p>
    <w:p w:rsidR="00F312C2" w:rsidRPr="00596AAB" w:rsidRDefault="00F312C2" w:rsidP="00F312C2">
      <w:pPr>
        <w:spacing w:line="360" w:lineRule="auto"/>
        <w:ind w:left="2880" w:hanging="2880"/>
        <w:contextualSpacing/>
        <w:jc w:val="both"/>
        <w:rPr>
          <w:rFonts w:ascii="Arial" w:eastAsia="Calibri" w:hAnsi="Arial" w:cs="Arial"/>
          <w:sz w:val="24"/>
          <w:szCs w:val="24"/>
        </w:rPr>
      </w:pPr>
      <w:r w:rsidRPr="00596AAB">
        <w:rPr>
          <w:rFonts w:ascii="Arial" w:eastAsia="Calibri" w:hAnsi="Arial" w:cs="Arial"/>
          <w:sz w:val="24"/>
          <w:szCs w:val="24"/>
        </w:rPr>
        <w:t>Eligible Applicants:</w:t>
      </w:r>
      <w:r w:rsidRPr="00596AAB">
        <w:rPr>
          <w:rFonts w:ascii="Arial" w:eastAsia="Calibri" w:hAnsi="Arial" w:cs="Arial"/>
          <w:sz w:val="24"/>
          <w:szCs w:val="24"/>
        </w:rPr>
        <w:tab/>
        <w:t xml:space="preserve">Schools, Community Groups, Local Development Agencies/Companies, Local Authorities </w:t>
      </w: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Amount available:</w:t>
      </w:r>
      <w:r w:rsidRPr="00596AAB">
        <w:rPr>
          <w:rFonts w:ascii="Arial" w:eastAsia="Calibri" w:hAnsi="Arial" w:cs="Arial"/>
          <w:sz w:val="24"/>
          <w:szCs w:val="24"/>
        </w:rPr>
        <w:tab/>
      </w:r>
      <w:r w:rsidRPr="00596AAB">
        <w:rPr>
          <w:rFonts w:ascii="Arial" w:eastAsia="Calibri" w:hAnsi="Arial" w:cs="Arial"/>
          <w:sz w:val="24"/>
          <w:szCs w:val="24"/>
        </w:rPr>
        <w:tab/>
        <w:t>€2 million</w:t>
      </w: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 rate:</w:t>
      </w:r>
      <w:r w:rsidRPr="00596AAB">
        <w:rPr>
          <w:rFonts w:ascii="Arial" w:eastAsia="Calibri" w:hAnsi="Arial" w:cs="Arial"/>
          <w:sz w:val="24"/>
          <w:szCs w:val="24"/>
        </w:rPr>
        <w:tab/>
      </w:r>
      <w:r w:rsidRPr="00596AAB">
        <w:rPr>
          <w:rFonts w:ascii="Arial" w:eastAsia="Calibri" w:hAnsi="Arial" w:cs="Arial"/>
          <w:sz w:val="24"/>
          <w:szCs w:val="24"/>
        </w:rPr>
        <w:tab/>
        <w:t xml:space="preserve">90% of total cost </w:t>
      </w: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Min. grant:</w:t>
      </w:r>
      <w:r w:rsidRPr="00596AAB">
        <w:rPr>
          <w:rFonts w:ascii="Arial" w:eastAsia="Calibri" w:hAnsi="Arial" w:cs="Arial"/>
          <w:sz w:val="24"/>
          <w:szCs w:val="24"/>
        </w:rPr>
        <w:tab/>
      </w:r>
      <w:r w:rsidRPr="00596AAB">
        <w:rPr>
          <w:rFonts w:ascii="Arial" w:eastAsia="Calibri" w:hAnsi="Arial" w:cs="Arial"/>
          <w:sz w:val="24"/>
          <w:szCs w:val="24"/>
        </w:rPr>
        <w:tab/>
      </w:r>
      <w:r w:rsidRPr="00596AAB">
        <w:rPr>
          <w:rFonts w:ascii="Arial" w:eastAsia="Calibri" w:hAnsi="Arial" w:cs="Arial"/>
          <w:sz w:val="24"/>
          <w:szCs w:val="24"/>
        </w:rPr>
        <w:tab/>
        <w:t xml:space="preserve">€1,000 </w:t>
      </w: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Max. grant:</w:t>
      </w:r>
      <w:r w:rsidRPr="00596AAB">
        <w:rPr>
          <w:rFonts w:ascii="Arial" w:eastAsia="Calibri" w:hAnsi="Arial" w:cs="Arial"/>
          <w:sz w:val="24"/>
          <w:szCs w:val="24"/>
        </w:rPr>
        <w:tab/>
      </w:r>
      <w:r w:rsidRPr="00596AAB">
        <w:rPr>
          <w:rFonts w:ascii="Arial" w:eastAsia="Calibri" w:hAnsi="Arial" w:cs="Arial"/>
          <w:sz w:val="24"/>
          <w:szCs w:val="24"/>
        </w:rPr>
        <w:tab/>
      </w:r>
      <w:r w:rsidRPr="00596AAB">
        <w:rPr>
          <w:rFonts w:ascii="Arial" w:eastAsia="Calibri" w:hAnsi="Arial" w:cs="Arial"/>
          <w:sz w:val="24"/>
          <w:szCs w:val="24"/>
        </w:rPr>
        <w:tab/>
        <w:t>As per</w:t>
      </w:r>
      <w:r w:rsidRPr="00596AAB">
        <w:rPr>
          <w:rFonts w:ascii="Arial" w:eastAsia="Calibri" w:hAnsi="Arial" w:cs="Arial"/>
          <w:sz w:val="24"/>
          <w:szCs w:val="24"/>
        </w:rPr>
        <w:tab/>
        <w:t xml:space="preserve"> Intervention list (see below)</w:t>
      </w:r>
    </w:p>
    <w:p w:rsidR="00F312C2" w:rsidRPr="00596AAB" w:rsidRDefault="00F312C2" w:rsidP="00F312C2">
      <w:pPr>
        <w:spacing w:line="360" w:lineRule="auto"/>
        <w:contextualSpacing/>
        <w:jc w:val="both"/>
        <w:rPr>
          <w:rFonts w:ascii="Arial" w:eastAsia="Calibri" w:hAnsi="Arial" w:cs="Arial"/>
          <w:sz w:val="24"/>
          <w:szCs w:val="24"/>
        </w:rPr>
      </w:pP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Project Administration/:</w:t>
      </w:r>
      <w:r w:rsidRPr="00596AAB">
        <w:rPr>
          <w:rFonts w:ascii="Arial" w:eastAsia="Calibri" w:hAnsi="Arial" w:cs="Arial"/>
          <w:sz w:val="24"/>
          <w:szCs w:val="24"/>
        </w:rPr>
        <w:tab/>
        <w:t>Local Authorities/Local Development</w:t>
      </w: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 xml:space="preserve">Delivery </w:t>
      </w:r>
      <w:r w:rsidRPr="00596AAB">
        <w:rPr>
          <w:rFonts w:ascii="Arial" w:eastAsia="Calibri" w:hAnsi="Arial" w:cs="Arial"/>
          <w:sz w:val="24"/>
          <w:szCs w:val="24"/>
        </w:rPr>
        <w:tab/>
      </w:r>
      <w:r w:rsidRPr="00596AAB">
        <w:rPr>
          <w:rFonts w:ascii="Arial" w:eastAsia="Calibri" w:hAnsi="Arial" w:cs="Arial"/>
          <w:sz w:val="24"/>
          <w:szCs w:val="24"/>
        </w:rPr>
        <w:tab/>
      </w:r>
      <w:r w:rsidRPr="00596AAB">
        <w:rPr>
          <w:rFonts w:ascii="Arial" w:eastAsia="Calibri" w:hAnsi="Arial" w:cs="Arial"/>
          <w:sz w:val="24"/>
          <w:szCs w:val="24"/>
        </w:rPr>
        <w:tab/>
        <w:t>Agencies/Companies</w:t>
      </w:r>
    </w:p>
    <w:p w:rsidR="00F312C2" w:rsidRPr="00596AAB" w:rsidRDefault="00F312C2" w:rsidP="00F312C2">
      <w:pPr>
        <w:spacing w:after="0" w:line="360" w:lineRule="auto"/>
        <w:contextualSpacing/>
        <w:jc w:val="both"/>
        <w:rPr>
          <w:rFonts w:ascii="Arial" w:eastAsia="Calibri" w:hAnsi="Arial" w:cs="Arial"/>
          <w:sz w:val="24"/>
          <w:szCs w:val="24"/>
        </w:rPr>
      </w:pPr>
    </w:p>
    <w:p w:rsidR="00F312C2" w:rsidRPr="00596AAB" w:rsidRDefault="00F312C2" w:rsidP="00F312C2">
      <w:pPr>
        <w:spacing w:after="0" w:line="360" w:lineRule="auto"/>
        <w:contextualSpacing/>
        <w:jc w:val="both"/>
        <w:rPr>
          <w:rFonts w:ascii="Arial" w:eastAsia="Calibri" w:hAnsi="Arial" w:cs="Arial"/>
          <w:sz w:val="24"/>
          <w:szCs w:val="24"/>
        </w:rPr>
      </w:pPr>
      <w:r w:rsidRPr="00596AAB">
        <w:rPr>
          <w:rFonts w:ascii="Arial" w:eastAsia="Calibri" w:hAnsi="Arial" w:cs="Arial"/>
          <w:sz w:val="24"/>
          <w:szCs w:val="24"/>
        </w:rPr>
        <w:t>Payment</w:t>
      </w:r>
      <w:r w:rsidRPr="00596AAB">
        <w:rPr>
          <w:rFonts w:ascii="Arial" w:eastAsia="Calibri" w:hAnsi="Arial" w:cs="Arial"/>
          <w:sz w:val="24"/>
          <w:szCs w:val="24"/>
        </w:rPr>
        <w:tab/>
      </w:r>
      <w:r w:rsidRPr="00596AAB">
        <w:rPr>
          <w:rFonts w:ascii="Arial" w:eastAsia="Calibri" w:hAnsi="Arial" w:cs="Arial"/>
          <w:sz w:val="24"/>
          <w:szCs w:val="24"/>
        </w:rPr>
        <w:tab/>
      </w:r>
      <w:r w:rsidRPr="00596AAB">
        <w:rPr>
          <w:rFonts w:ascii="Arial" w:eastAsia="Calibri" w:hAnsi="Arial" w:cs="Arial"/>
          <w:sz w:val="24"/>
          <w:szCs w:val="24"/>
        </w:rPr>
        <w:tab/>
        <w:t>100% on completion unless otherwise agreed</w:t>
      </w:r>
    </w:p>
    <w:p w:rsidR="00F312C2" w:rsidRPr="00596AAB" w:rsidRDefault="00F312C2" w:rsidP="00F312C2">
      <w:pPr>
        <w:spacing w:after="0" w:line="360" w:lineRule="auto"/>
        <w:contextualSpacing/>
        <w:jc w:val="both"/>
        <w:rPr>
          <w:rFonts w:ascii="Arial" w:eastAsia="Calibri" w:hAnsi="Arial" w:cs="Arial"/>
          <w:sz w:val="24"/>
          <w:szCs w:val="24"/>
        </w:rPr>
      </w:pPr>
      <w:r w:rsidRPr="00596AAB">
        <w:rPr>
          <w:rFonts w:ascii="Arial" w:eastAsia="Calibri" w:hAnsi="Arial" w:cs="Arial"/>
          <w:sz w:val="24"/>
          <w:szCs w:val="24"/>
        </w:rPr>
        <w:t>Arrangements:</w:t>
      </w:r>
      <w:r w:rsidRPr="00596AAB">
        <w:rPr>
          <w:rFonts w:ascii="Arial" w:eastAsia="Calibri" w:hAnsi="Arial" w:cs="Arial"/>
          <w:sz w:val="24"/>
          <w:szCs w:val="24"/>
        </w:rPr>
        <w:tab/>
      </w:r>
      <w:r w:rsidRPr="00596AAB">
        <w:rPr>
          <w:rFonts w:ascii="Arial" w:eastAsia="Calibri" w:hAnsi="Arial" w:cs="Arial"/>
          <w:sz w:val="24"/>
          <w:szCs w:val="24"/>
        </w:rPr>
        <w:tab/>
        <w:t xml:space="preserve">  </w:t>
      </w:r>
    </w:p>
    <w:p w:rsidR="00F312C2" w:rsidRPr="00596AAB" w:rsidRDefault="00F312C2" w:rsidP="00F312C2">
      <w:pPr>
        <w:contextualSpacing/>
        <w:jc w:val="both"/>
        <w:rPr>
          <w:rFonts w:ascii="Arial" w:eastAsia="Calibri" w:hAnsi="Arial" w:cs="Arial"/>
          <w:b/>
          <w:sz w:val="24"/>
          <w:szCs w:val="24"/>
          <w:u w:val="single"/>
        </w:rPr>
      </w:pPr>
    </w:p>
    <w:p w:rsidR="00F312C2" w:rsidRPr="00596AAB" w:rsidRDefault="00F312C2" w:rsidP="00F312C2">
      <w:pPr>
        <w:spacing w:line="360" w:lineRule="auto"/>
        <w:contextualSpacing/>
        <w:jc w:val="both"/>
        <w:rPr>
          <w:rFonts w:ascii="Arial" w:eastAsia="Calibri" w:hAnsi="Arial" w:cs="Arial"/>
          <w:bCs/>
          <w:sz w:val="24"/>
          <w:szCs w:val="24"/>
        </w:rPr>
      </w:pPr>
      <w:r w:rsidRPr="00596AAB">
        <w:rPr>
          <w:rFonts w:ascii="Arial" w:eastAsia="Calibri" w:hAnsi="Arial" w:cs="Arial"/>
          <w:bCs/>
          <w:sz w:val="24"/>
          <w:szCs w:val="24"/>
        </w:rPr>
        <w:t xml:space="preserve">Based on the experience and the level of interest in 2018, it is proposed that this measure would remain the same for 2019. CLÁR 2018 will consider support for interventions that make the school/community facility environs healthier and safer for the children attending the schools, and for children and adults using the community facilities. </w:t>
      </w:r>
    </w:p>
    <w:p w:rsidR="00F312C2" w:rsidRPr="00596AAB" w:rsidRDefault="00F312C2" w:rsidP="00F312C2">
      <w:pPr>
        <w:contextualSpacing/>
        <w:jc w:val="both"/>
        <w:rPr>
          <w:rFonts w:ascii="Arial" w:eastAsia="Calibri" w:hAnsi="Arial" w:cs="Arial"/>
          <w:bCs/>
          <w:sz w:val="24"/>
          <w:szCs w:val="24"/>
        </w:rPr>
      </w:pPr>
    </w:p>
    <w:p w:rsidR="00F312C2" w:rsidRPr="00596AAB" w:rsidRDefault="00F312C2" w:rsidP="00F312C2">
      <w:pPr>
        <w:spacing w:line="360" w:lineRule="auto"/>
        <w:contextualSpacing/>
        <w:jc w:val="both"/>
        <w:rPr>
          <w:rFonts w:ascii="Arial" w:eastAsia="Calibri" w:hAnsi="Arial" w:cs="Arial"/>
          <w:bCs/>
          <w:sz w:val="24"/>
          <w:szCs w:val="24"/>
        </w:rPr>
      </w:pPr>
      <w:r w:rsidRPr="00596AAB">
        <w:rPr>
          <w:rFonts w:ascii="Arial" w:eastAsia="Calibri" w:hAnsi="Arial" w:cs="Arial"/>
          <w:bCs/>
          <w:sz w:val="24"/>
          <w:szCs w:val="24"/>
        </w:rPr>
        <w:t xml:space="preserve">In this context the table below outlines the supports eligible for funding in CLÁR areas under this measure. The list below </w:t>
      </w:r>
      <w:r w:rsidRPr="00596AAB">
        <w:rPr>
          <w:rFonts w:ascii="Arial" w:eastAsia="Calibri" w:hAnsi="Arial" w:cs="Arial"/>
          <w:b/>
          <w:bCs/>
          <w:sz w:val="24"/>
          <w:szCs w:val="24"/>
        </w:rPr>
        <w:t>is definitive</w:t>
      </w:r>
      <w:r w:rsidRPr="00596AAB">
        <w:rPr>
          <w:rFonts w:ascii="Arial" w:eastAsia="Calibri" w:hAnsi="Arial" w:cs="Arial"/>
          <w:bCs/>
          <w:sz w:val="24"/>
          <w:szCs w:val="24"/>
        </w:rPr>
        <w:t xml:space="preserve"> and based on the projects funded through CLÁR in the recent past. </w:t>
      </w:r>
    </w:p>
    <w:p w:rsidR="00F312C2" w:rsidRPr="00596AAB" w:rsidRDefault="00F312C2" w:rsidP="00F312C2">
      <w:pPr>
        <w:contextualSpacing/>
        <w:jc w:val="both"/>
        <w:rPr>
          <w:rFonts w:ascii="Arial" w:eastAsia="Calibri" w:hAnsi="Arial" w:cs="Arial"/>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3969"/>
      </w:tblGrid>
      <w:tr w:rsidR="00F312C2" w:rsidRPr="00596AAB" w:rsidTr="00856AC5">
        <w:tc>
          <w:tcPr>
            <w:tcW w:w="5358" w:type="dxa"/>
            <w:shd w:val="clear" w:color="auto" w:fill="auto"/>
          </w:tcPr>
          <w:p w:rsidR="00F312C2" w:rsidRPr="00596AAB" w:rsidRDefault="00F312C2" w:rsidP="00856AC5">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p>
          <w:p w:rsidR="00F312C2" w:rsidRPr="00596AAB" w:rsidRDefault="00F312C2" w:rsidP="00856AC5">
            <w:pPr>
              <w:overflowPunct w:val="0"/>
              <w:autoSpaceDE w:val="0"/>
              <w:autoSpaceDN w:val="0"/>
              <w:adjustRightInd w:val="0"/>
              <w:spacing w:after="0" w:line="360" w:lineRule="auto"/>
              <w:contextualSpacing/>
              <w:jc w:val="both"/>
              <w:textAlignment w:val="baseline"/>
              <w:rPr>
                <w:rFonts w:ascii="Arial" w:eastAsia="Calibri" w:hAnsi="Arial" w:cs="Arial"/>
                <w:b/>
                <w:bCs/>
                <w:sz w:val="24"/>
                <w:szCs w:val="24"/>
              </w:rPr>
            </w:pPr>
            <w:r w:rsidRPr="00596AAB">
              <w:rPr>
                <w:rFonts w:ascii="Arial" w:eastAsia="Calibri" w:hAnsi="Arial" w:cs="Arial"/>
                <w:b/>
                <w:bCs/>
                <w:sz w:val="24"/>
                <w:szCs w:val="24"/>
              </w:rPr>
              <w:t xml:space="preserve">Type of Intervention </w:t>
            </w:r>
          </w:p>
        </w:tc>
        <w:tc>
          <w:tcPr>
            <w:tcW w:w="3969" w:type="dxa"/>
            <w:shd w:val="clear" w:color="auto" w:fill="auto"/>
          </w:tcPr>
          <w:p w:rsidR="00F312C2" w:rsidRPr="00596AAB" w:rsidRDefault="00F312C2" w:rsidP="00856AC5">
            <w:pPr>
              <w:spacing w:line="360" w:lineRule="auto"/>
              <w:contextualSpacing/>
              <w:jc w:val="both"/>
              <w:rPr>
                <w:rFonts w:ascii="Arial" w:eastAsia="Calibri" w:hAnsi="Arial" w:cs="Arial"/>
                <w:b/>
                <w:bCs/>
                <w:sz w:val="24"/>
                <w:szCs w:val="24"/>
              </w:rPr>
            </w:pPr>
          </w:p>
          <w:p w:rsidR="00F312C2" w:rsidRPr="00596AAB" w:rsidRDefault="00F312C2" w:rsidP="00856AC5">
            <w:pPr>
              <w:spacing w:line="360" w:lineRule="auto"/>
              <w:contextualSpacing/>
              <w:jc w:val="both"/>
              <w:rPr>
                <w:rFonts w:ascii="Arial" w:eastAsia="Calibri" w:hAnsi="Arial" w:cs="Arial"/>
                <w:b/>
                <w:bCs/>
                <w:sz w:val="24"/>
                <w:szCs w:val="24"/>
              </w:rPr>
            </w:pPr>
            <w:r w:rsidRPr="00596AAB">
              <w:rPr>
                <w:rFonts w:ascii="Arial" w:eastAsia="Calibri" w:hAnsi="Arial" w:cs="Arial"/>
                <w:b/>
                <w:bCs/>
                <w:sz w:val="24"/>
                <w:szCs w:val="24"/>
              </w:rPr>
              <w:t>Possible Funding to be allocated</w:t>
            </w:r>
          </w:p>
        </w:tc>
      </w:tr>
      <w:tr w:rsidR="00F312C2" w:rsidRPr="00596AAB" w:rsidTr="00856AC5">
        <w:tc>
          <w:tcPr>
            <w:tcW w:w="5358" w:type="dxa"/>
            <w:shd w:val="clear" w:color="auto" w:fill="auto"/>
          </w:tcPr>
          <w:p w:rsidR="00F312C2" w:rsidRPr="00596AAB" w:rsidRDefault="00F312C2" w:rsidP="00856AC5">
            <w:pPr>
              <w:overflowPunct w:val="0"/>
              <w:autoSpaceDE w:val="0"/>
              <w:autoSpaceDN w:val="0"/>
              <w:adjustRightInd w:val="0"/>
              <w:spacing w:before="60" w:after="60" w:line="360" w:lineRule="auto"/>
              <w:ind w:right="175"/>
              <w:contextualSpacing/>
              <w:jc w:val="both"/>
              <w:textAlignment w:val="baseline"/>
              <w:rPr>
                <w:rFonts w:ascii="Arial" w:eastAsia="Calibri" w:hAnsi="Arial" w:cs="Arial"/>
                <w:bCs/>
                <w:sz w:val="24"/>
                <w:szCs w:val="24"/>
              </w:rPr>
            </w:pPr>
            <w:r w:rsidRPr="00596AAB">
              <w:rPr>
                <w:rFonts w:ascii="Arial" w:eastAsia="Calibri" w:hAnsi="Arial" w:cs="Arial"/>
                <w:bCs/>
                <w:sz w:val="24"/>
                <w:szCs w:val="24"/>
              </w:rPr>
              <w:t>Purchase and replacement of Flashing Amber Safety Lights</w:t>
            </w:r>
            <w:r w:rsidRPr="00596AAB">
              <w:rPr>
                <w:rFonts w:ascii="Arial" w:eastAsia="Calibri" w:hAnsi="Arial" w:cs="Arial"/>
                <w:b/>
                <w:bCs/>
                <w:sz w:val="24"/>
                <w:szCs w:val="24"/>
              </w:rPr>
              <w:t>.</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€7,000 per set</w:t>
            </w:r>
          </w:p>
        </w:tc>
      </w:tr>
      <w:tr w:rsidR="00F312C2" w:rsidRPr="00596AAB" w:rsidTr="00856AC5">
        <w:tc>
          <w:tcPr>
            <w:tcW w:w="5358" w:type="dxa"/>
            <w:shd w:val="clear" w:color="auto" w:fill="auto"/>
          </w:tcPr>
          <w:p w:rsidR="00F312C2" w:rsidRPr="00596AAB" w:rsidRDefault="00F312C2" w:rsidP="00856AC5">
            <w:pPr>
              <w:spacing w:before="60" w:after="60" w:line="360" w:lineRule="auto"/>
              <w:ind w:right="175"/>
              <w:contextualSpacing/>
              <w:jc w:val="both"/>
              <w:rPr>
                <w:rFonts w:ascii="Arial" w:eastAsia="Calibri" w:hAnsi="Arial" w:cs="Arial"/>
                <w:bCs/>
                <w:sz w:val="24"/>
                <w:szCs w:val="24"/>
              </w:rPr>
            </w:pPr>
            <w:r w:rsidRPr="00596AAB">
              <w:rPr>
                <w:rFonts w:ascii="Arial" w:eastAsia="Calibri" w:hAnsi="Arial" w:cs="Arial"/>
                <w:bCs/>
                <w:sz w:val="24"/>
                <w:szCs w:val="24"/>
              </w:rPr>
              <w:t xml:space="preserve">Purchase of Child safety signs </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€1,000 per sign</w:t>
            </w:r>
          </w:p>
        </w:tc>
      </w:tr>
      <w:tr w:rsidR="00F312C2" w:rsidRPr="00596AAB" w:rsidTr="00856AC5">
        <w:tc>
          <w:tcPr>
            <w:tcW w:w="5358" w:type="dxa"/>
            <w:shd w:val="clear" w:color="auto" w:fill="auto"/>
          </w:tcPr>
          <w:p w:rsidR="00F312C2" w:rsidRPr="00596AAB" w:rsidRDefault="00F312C2" w:rsidP="00856AC5">
            <w:pPr>
              <w:overflowPunct w:val="0"/>
              <w:autoSpaceDE w:val="0"/>
              <w:autoSpaceDN w:val="0"/>
              <w:adjustRightInd w:val="0"/>
              <w:spacing w:before="60" w:after="60" w:line="360" w:lineRule="auto"/>
              <w:ind w:right="175"/>
              <w:contextualSpacing/>
              <w:jc w:val="both"/>
              <w:textAlignment w:val="baseline"/>
              <w:rPr>
                <w:rFonts w:ascii="Arial" w:eastAsia="Calibri" w:hAnsi="Arial" w:cs="Arial"/>
                <w:bCs/>
                <w:sz w:val="24"/>
                <w:szCs w:val="24"/>
              </w:rPr>
            </w:pPr>
            <w:r w:rsidRPr="00596AAB">
              <w:rPr>
                <w:rFonts w:ascii="Arial" w:eastAsia="Calibri" w:hAnsi="Arial" w:cs="Arial"/>
                <w:bCs/>
                <w:sz w:val="24"/>
                <w:szCs w:val="24"/>
              </w:rPr>
              <w:t xml:space="preserve">Purchase of digital speed safety signs, indicating that cars are entering a particular zone. </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€14,000 per set</w:t>
            </w:r>
          </w:p>
        </w:tc>
      </w:tr>
      <w:tr w:rsidR="00F312C2" w:rsidRPr="00596AAB" w:rsidTr="00856AC5">
        <w:tc>
          <w:tcPr>
            <w:tcW w:w="5358" w:type="dxa"/>
            <w:shd w:val="clear" w:color="auto" w:fill="auto"/>
          </w:tcPr>
          <w:p w:rsidR="00F312C2" w:rsidRPr="00596AAB" w:rsidRDefault="00F312C2" w:rsidP="00856AC5">
            <w:pPr>
              <w:spacing w:before="60" w:after="60" w:line="360" w:lineRule="auto"/>
              <w:ind w:right="175"/>
              <w:contextualSpacing/>
              <w:jc w:val="both"/>
              <w:rPr>
                <w:rFonts w:ascii="Arial" w:eastAsia="Calibri" w:hAnsi="Arial" w:cs="Arial"/>
                <w:bCs/>
                <w:sz w:val="24"/>
                <w:szCs w:val="24"/>
              </w:rPr>
            </w:pPr>
            <w:r w:rsidRPr="00596AAB">
              <w:rPr>
                <w:rFonts w:ascii="Arial" w:eastAsia="Calibri" w:hAnsi="Arial" w:cs="Arial"/>
                <w:bCs/>
                <w:sz w:val="24"/>
                <w:szCs w:val="24"/>
              </w:rPr>
              <w:lastRenderedPageBreak/>
              <w:t>Upgrade Road markings on approach roads to Schools/community facilities.</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€1,000</w:t>
            </w:r>
          </w:p>
        </w:tc>
      </w:tr>
      <w:tr w:rsidR="00F312C2" w:rsidRPr="00596AAB" w:rsidTr="00856AC5">
        <w:tc>
          <w:tcPr>
            <w:tcW w:w="5358" w:type="dxa"/>
            <w:shd w:val="clear" w:color="auto" w:fill="auto"/>
          </w:tcPr>
          <w:p w:rsidR="00F312C2" w:rsidRPr="00596AAB" w:rsidRDefault="00F312C2" w:rsidP="00856AC5">
            <w:pPr>
              <w:overflowPunct w:val="0"/>
              <w:autoSpaceDE w:val="0"/>
              <w:autoSpaceDN w:val="0"/>
              <w:adjustRightInd w:val="0"/>
              <w:spacing w:before="60" w:after="60" w:line="360" w:lineRule="auto"/>
              <w:ind w:right="175"/>
              <w:contextualSpacing/>
              <w:jc w:val="both"/>
              <w:textAlignment w:val="baseline"/>
              <w:rPr>
                <w:rFonts w:ascii="Arial" w:eastAsia="Calibri" w:hAnsi="Arial" w:cs="Arial"/>
                <w:bCs/>
                <w:sz w:val="24"/>
                <w:szCs w:val="24"/>
              </w:rPr>
            </w:pPr>
            <w:r w:rsidRPr="00596AAB">
              <w:rPr>
                <w:rFonts w:ascii="Arial" w:eastAsia="Calibri" w:hAnsi="Arial" w:cs="Arial"/>
                <w:bCs/>
                <w:sz w:val="24"/>
                <w:szCs w:val="24"/>
              </w:rPr>
              <w:t>Erect pedestrian crossings in small towns and villages at schools/community facilities.</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€22,000</w:t>
            </w:r>
          </w:p>
        </w:tc>
      </w:tr>
      <w:tr w:rsidR="00F312C2" w:rsidRPr="00596AAB" w:rsidTr="00856AC5">
        <w:tc>
          <w:tcPr>
            <w:tcW w:w="5358" w:type="dxa"/>
            <w:shd w:val="clear" w:color="auto" w:fill="auto"/>
          </w:tcPr>
          <w:p w:rsidR="00F312C2" w:rsidRPr="00596AAB" w:rsidRDefault="00F312C2" w:rsidP="00856AC5">
            <w:pPr>
              <w:overflowPunct w:val="0"/>
              <w:autoSpaceDE w:val="0"/>
              <w:autoSpaceDN w:val="0"/>
              <w:adjustRightInd w:val="0"/>
              <w:spacing w:before="60" w:after="60" w:line="360" w:lineRule="auto"/>
              <w:ind w:right="175"/>
              <w:contextualSpacing/>
              <w:jc w:val="both"/>
              <w:textAlignment w:val="baseline"/>
              <w:rPr>
                <w:rFonts w:ascii="Arial" w:eastAsia="Calibri" w:hAnsi="Arial" w:cs="Arial"/>
                <w:bCs/>
                <w:sz w:val="24"/>
                <w:szCs w:val="24"/>
              </w:rPr>
            </w:pPr>
            <w:r w:rsidRPr="00596AAB">
              <w:rPr>
                <w:rFonts w:ascii="Arial" w:eastAsia="Calibri" w:hAnsi="Arial" w:cs="Arial"/>
                <w:bCs/>
                <w:sz w:val="24"/>
                <w:szCs w:val="24"/>
              </w:rPr>
              <w:t>Construction and upgrading of access footpaths next to schools or community facilities.</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€30,000</w:t>
            </w:r>
          </w:p>
        </w:tc>
      </w:tr>
      <w:tr w:rsidR="00F312C2" w:rsidRPr="00596AAB" w:rsidTr="00856AC5">
        <w:tc>
          <w:tcPr>
            <w:tcW w:w="5358" w:type="dxa"/>
            <w:shd w:val="clear" w:color="auto" w:fill="auto"/>
          </w:tcPr>
          <w:p w:rsidR="00F312C2" w:rsidRPr="00596AAB" w:rsidRDefault="00F312C2" w:rsidP="00856AC5">
            <w:pPr>
              <w:overflowPunct w:val="0"/>
              <w:autoSpaceDE w:val="0"/>
              <w:autoSpaceDN w:val="0"/>
              <w:adjustRightInd w:val="0"/>
              <w:spacing w:before="60" w:after="60" w:line="360" w:lineRule="auto"/>
              <w:ind w:right="175"/>
              <w:contextualSpacing/>
              <w:jc w:val="both"/>
              <w:textAlignment w:val="baseline"/>
              <w:rPr>
                <w:rFonts w:ascii="Arial" w:eastAsia="Calibri" w:hAnsi="Arial" w:cs="Arial"/>
                <w:bCs/>
                <w:sz w:val="24"/>
                <w:szCs w:val="24"/>
              </w:rPr>
            </w:pPr>
            <w:r w:rsidRPr="00596AAB">
              <w:rPr>
                <w:rFonts w:ascii="Arial" w:eastAsia="Calibri" w:hAnsi="Arial" w:cs="Arial"/>
                <w:bCs/>
                <w:sz w:val="24"/>
                <w:szCs w:val="24"/>
              </w:rPr>
              <w:t xml:space="preserve">Car Parking facilities to access schools or community facilities.  </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€30,000</w:t>
            </w:r>
          </w:p>
        </w:tc>
      </w:tr>
      <w:tr w:rsidR="00F312C2" w:rsidRPr="00596AAB" w:rsidTr="00856AC5">
        <w:tc>
          <w:tcPr>
            <w:tcW w:w="5358" w:type="dxa"/>
            <w:shd w:val="clear" w:color="auto" w:fill="auto"/>
          </w:tcPr>
          <w:p w:rsidR="00F312C2" w:rsidRPr="00596AAB" w:rsidRDefault="00F312C2" w:rsidP="00856AC5">
            <w:pPr>
              <w:spacing w:before="60" w:after="60" w:line="360" w:lineRule="auto"/>
              <w:ind w:right="175"/>
              <w:contextualSpacing/>
              <w:jc w:val="both"/>
              <w:rPr>
                <w:rFonts w:ascii="Arial" w:eastAsia="Calibri" w:hAnsi="Arial" w:cs="Arial"/>
                <w:bCs/>
                <w:sz w:val="24"/>
                <w:szCs w:val="24"/>
              </w:rPr>
            </w:pPr>
            <w:r w:rsidRPr="00596AAB">
              <w:rPr>
                <w:rFonts w:ascii="Arial" w:eastAsia="Calibri" w:hAnsi="Arial" w:cs="Arial"/>
                <w:bCs/>
                <w:sz w:val="24"/>
                <w:szCs w:val="24"/>
              </w:rPr>
              <w:t>Provision of Bus Shelters</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€25,000</w:t>
            </w:r>
          </w:p>
        </w:tc>
      </w:tr>
      <w:tr w:rsidR="00F312C2" w:rsidRPr="00596AAB" w:rsidTr="00856AC5">
        <w:tc>
          <w:tcPr>
            <w:tcW w:w="5358" w:type="dxa"/>
            <w:shd w:val="clear" w:color="auto" w:fill="auto"/>
          </w:tcPr>
          <w:p w:rsidR="00F312C2" w:rsidRPr="00596AAB" w:rsidRDefault="00F312C2" w:rsidP="00856AC5">
            <w:pPr>
              <w:spacing w:before="60" w:after="60" w:line="360" w:lineRule="auto"/>
              <w:ind w:right="175"/>
              <w:contextualSpacing/>
              <w:jc w:val="both"/>
              <w:rPr>
                <w:rFonts w:ascii="Arial" w:eastAsia="Calibri" w:hAnsi="Arial" w:cs="Arial"/>
                <w:bCs/>
                <w:sz w:val="24"/>
                <w:szCs w:val="24"/>
              </w:rPr>
            </w:pPr>
            <w:r w:rsidRPr="00596AAB">
              <w:rPr>
                <w:rFonts w:ascii="Arial" w:eastAsia="Calibri" w:hAnsi="Arial" w:cs="Arial"/>
                <w:bCs/>
                <w:sz w:val="24"/>
                <w:szCs w:val="24"/>
              </w:rPr>
              <w:t xml:space="preserve">Provision of Public Lighting </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€30,000</w:t>
            </w:r>
          </w:p>
        </w:tc>
      </w:tr>
      <w:tr w:rsidR="00F312C2" w:rsidRPr="00596AAB" w:rsidTr="00856AC5">
        <w:tc>
          <w:tcPr>
            <w:tcW w:w="5358" w:type="dxa"/>
            <w:shd w:val="clear" w:color="auto" w:fill="auto"/>
          </w:tcPr>
          <w:p w:rsidR="00F312C2" w:rsidRPr="00596AAB" w:rsidRDefault="00F312C2" w:rsidP="00856AC5">
            <w:pPr>
              <w:spacing w:before="60" w:after="60" w:line="360" w:lineRule="auto"/>
              <w:ind w:right="175"/>
              <w:contextualSpacing/>
              <w:jc w:val="both"/>
              <w:rPr>
                <w:rFonts w:ascii="Arial" w:eastAsia="Calibri" w:hAnsi="Arial" w:cs="Arial"/>
                <w:bCs/>
                <w:sz w:val="24"/>
                <w:szCs w:val="24"/>
              </w:rPr>
            </w:pPr>
            <w:r w:rsidRPr="00596AAB">
              <w:rPr>
                <w:rFonts w:ascii="Arial" w:eastAsia="Calibri" w:hAnsi="Arial" w:cs="Arial"/>
                <w:bCs/>
                <w:sz w:val="24"/>
                <w:szCs w:val="24"/>
              </w:rPr>
              <w:t>Overall max per project if there are a number of elements above included in applications for a single location</w:t>
            </w:r>
          </w:p>
        </w:tc>
        <w:tc>
          <w:tcPr>
            <w:tcW w:w="3969" w:type="dxa"/>
            <w:shd w:val="clear" w:color="auto" w:fill="auto"/>
          </w:tcPr>
          <w:p w:rsidR="00F312C2" w:rsidRPr="00596AAB" w:rsidRDefault="00F312C2" w:rsidP="00856AC5">
            <w:pPr>
              <w:spacing w:before="60" w:after="60" w:line="360" w:lineRule="auto"/>
              <w:contextualSpacing/>
              <w:jc w:val="both"/>
              <w:rPr>
                <w:rFonts w:ascii="Arial" w:eastAsia="Calibri" w:hAnsi="Arial" w:cs="Arial"/>
                <w:bCs/>
                <w:sz w:val="24"/>
                <w:szCs w:val="24"/>
              </w:rPr>
            </w:pPr>
            <w:r w:rsidRPr="00596AAB">
              <w:rPr>
                <w:rFonts w:ascii="Arial" w:eastAsia="Calibri" w:hAnsi="Arial" w:cs="Arial"/>
                <w:bCs/>
                <w:sz w:val="24"/>
                <w:szCs w:val="24"/>
              </w:rPr>
              <w:t>Max €50,000</w:t>
            </w:r>
          </w:p>
        </w:tc>
      </w:tr>
    </w:tbl>
    <w:p w:rsidR="00F312C2" w:rsidRPr="00596AAB" w:rsidRDefault="00F312C2" w:rsidP="00F312C2">
      <w:pPr>
        <w:spacing w:line="360" w:lineRule="auto"/>
        <w:contextualSpacing/>
        <w:jc w:val="both"/>
        <w:rPr>
          <w:rFonts w:ascii="Arial" w:eastAsia="Calibri" w:hAnsi="Arial" w:cs="Arial"/>
          <w:sz w:val="24"/>
          <w:szCs w:val="24"/>
        </w:rPr>
      </w:pP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 xml:space="preserve">Applications must be submitted via the Local Authorities. It will be possible, where agreed locally, that the LDC’s can be the responsible body for delivery. </w:t>
      </w:r>
    </w:p>
    <w:p w:rsidR="00F312C2" w:rsidRPr="00596AAB" w:rsidRDefault="00F312C2" w:rsidP="00F312C2">
      <w:pPr>
        <w:spacing w:line="360" w:lineRule="auto"/>
        <w:contextualSpacing/>
        <w:jc w:val="both"/>
        <w:rPr>
          <w:rFonts w:ascii="Arial" w:eastAsia="Calibri" w:hAnsi="Arial" w:cs="Arial"/>
          <w:sz w:val="24"/>
          <w:szCs w:val="24"/>
        </w:rPr>
      </w:pP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Projects proposed to the Department by the LA’s must be selected on the basis of:</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an application by a School/Community/LDC to the LA</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evidence that all necessary permissions are in place</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evidence where applicable that ownership/lease is in place</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full estimated costs (procurement not required at this point)</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evidence that match funding is in place where relevant</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 xml:space="preserve">clear evidence of need, and </w:t>
      </w:r>
    </w:p>
    <w:p w:rsidR="00F312C2" w:rsidRPr="00596AAB" w:rsidRDefault="00F312C2" w:rsidP="00F312C2">
      <w:pPr>
        <w:numPr>
          <w:ilvl w:val="0"/>
          <w:numId w:val="1"/>
        </w:numPr>
        <w:spacing w:line="360" w:lineRule="auto"/>
        <w:ind w:left="851"/>
        <w:contextualSpacing/>
        <w:jc w:val="both"/>
        <w:rPr>
          <w:rFonts w:ascii="Arial" w:eastAsia="Calibri" w:hAnsi="Arial" w:cs="Arial"/>
          <w:sz w:val="24"/>
          <w:szCs w:val="24"/>
        </w:rPr>
      </w:pPr>
      <w:r w:rsidRPr="00596AAB">
        <w:rPr>
          <w:rFonts w:ascii="Arial" w:eastAsia="Calibri" w:hAnsi="Arial" w:cs="Arial"/>
          <w:sz w:val="24"/>
          <w:szCs w:val="24"/>
        </w:rPr>
        <w:t>relevance to the LECP/other plan.</w:t>
      </w:r>
    </w:p>
    <w:p w:rsidR="00F312C2" w:rsidRPr="00596AAB" w:rsidRDefault="00F312C2" w:rsidP="00F312C2">
      <w:pPr>
        <w:spacing w:line="360" w:lineRule="auto"/>
        <w:contextualSpacing/>
        <w:jc w:val="both"/>
        <w:rPr>
          <w:rFonts w:ascii="Arial" w:eastAsia="Calibri" w:hAnsi="Arial" w:cs="Arial"/>
          <w:b/>
          <w:sz w:val="24"/>
          <w:szCs w:val="24"/>
        </w:rPr>
      </w:pPr>
    </w:p>
    <w:p w:rsidR="00F312C2" w:rsidRPr="00596AAB" w:rsidRDefault="00F312C2" w:rsidP="00F312C2">
      <w:pPr>
        <w:spacing w:line="360" w:lineRule="auto"/>
        <w:contextualSpacing/>
        <w:jc w:val="both"/>
        <w:rPr>
          <w:rFonts w:ascii="Arial" w:eastAsia="Calibri" w:hAnsi="Arial" w:cs="Arial"/>
          <w:sz w:val="24"/>
          <w:szCs w:val="24"/>
        </w:rPr>
      </w:pPr>
      <w:r w:rsidRPr="00596AAB">
        <w:rPr>
          <w:rFonts w:ascii="Arial" w:eastAsia="Calibri" w:hAnsi="Arial" w:cs="Arial"/>
          <w:sz w:val="24"/>
          <w:szCs w:val="24"/>
        </w:rPr>
        <w:t>The scheme will provide up to 90% of the cost or the maximum amount outlined in the table above, whichever is the lesser. The remaining 10% or balance of the cost should be provided through Local Authority/community/LDC/other resources with a minimum of 5% cash contribution from the School/Community benefiting.</w:t>
      </w:r>
      <w:bookmarkStart w:id="0" w:name="_GoBack"/>
      <w:bookmarkEnd w:id="0"/>
    </w:p>
    <w:p w:rsidR="00C85F42" w:rsidRDefault="00C85F42"/>
    <w:sectPr w:rsidR="00C85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11"/>
    <w:rsid w:val="00C85F42"/>
    <w:rsid w:val="00C86F11"/>
    <w:rsid w:val="00F312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16CF7-9ED8-4451-9B46-B833509C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Kilcommons  (DRCD)</dc:creator>
  <cp:keywords/>
  <dc:description/>
  <cp:lastModifiedBy>Michelle Kilcommons  (DRCD)</cp:lastModifiedBy>
  <cp:revision>2</cp:revision>
  <dcterms:created xsi:type="dcterms:W3CDTF">2019-02-28T10:27:00Z</dcterms:created>
  <dcterms:modified xsi:type="dcterms:W3CDTF">2019-02-28T10:29:00Z</dcterms:modified>
</cp:coreProperties>
</file>