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5D" w:rsidRPr="00596AAB" w:rsidRDefault="0002225D" w:rsidP="0002225D">
      <w:pPr>
        <w:spacing w:line="360" w:lineRule="auto"/>
        <w:rPr>
          <w:rFonts w:ascii="Arial" w:eastAsia="Calibri" w:hAnsi="Arial" w:cs="Arial"/>
          <w:b/>
          <w:sz w:val="24"/>
          <w:szCs w:val="24"/>
          <w:u w:val="single"/>
        </w:rPr>
      </w:pPr>
      <w:r w:rsidRPr="00596AAB">
        <w:rPr>
          <w:rFonts w:ascii="Arial" w:eastAsia="Calibri" w:hAnsi="Arial" w:cs="Arial"/>
          <w:b/>
          <w:sz w:val="24"/>
          <w:szCs w:val="24"/>
          <w:u w:val="single"/>
        </w:rPr>
        <w:t>Appendix 3:</w:t>
      </w:r>
    </w:p>
    <w:p w:rsidR="0002225D" w:rsidRPr="00596AAB" w:rsidRDefault="0002225D" w:rsidP="0002225D">
      <w:pPr>
        <w:spacing w:line="360" w:lineRule="auto"/>
        <w:contextualSpacing/>
        <w:jc w:val="both"/>
        <w:rPr>
          <w:rFonts w:ascii="Arial" w:eastAsia="Calibri" w:hAnsi="Arial" w:cs="Arial"/>
          <w:b/>
          <w:sz w:val="24"/>
          <w:szCs w:val="24"/>
          <w:u w:val="single"/>
        </w:rPr>
      </w:pPr>
    </w:p>
    <w:p w:rsidR="0002225D" w:rsidRDefault="0002225D" w:rsidP="0002225D">
      <w:pPr>
        <w:spacing w:line="360" w:lineRule="auto"/>
        <w:contextualSpacing/>
        <w:jc w:val="both"/>
        <w:rPr>
          <w:rFonts w:ascii="Arial" w:eastAsia="Times New Roman" w:hAnsi="Arial" w:cs="Arial"/>
          <w:sz w:val="24"/>
          <w:szCs w:val="24"/>
          <w:lang w:eastAsia="en-IE"/>
        </w:rPr>
      </w:pPr>
      <w:r w:rsidRPr="00596AAB">
        <w:rPr>
          <w:rFonts w:ascii="Arial" w:eastAsia="Calibri" w:hAnsi="Arial" w:cs="Arial"/>
          <w:b/>
          <w:sz w:val="24"/>
          <w:szCs w:val="24"/>
          <w:u w:val="single"/>
        </w:rPr>
        <w:t xml:space="preserve">Measure 3:  </w:t>
      </w:r>
      <w:r w:rsidRPr="00596AAB">
        <w:rPr>
          <w:rFonts w:ascii="Arial" w:eastAsia="Calibri" w:hAnsi="Arial" w:cs="Arial"/>
          <w:b/>
          <w:sz w:val="24"/>
          <w:szCs w:val="24"/>
          <w:u w:val="single"/>
        </w:rPr>
        <w:tab/>
        <w:t xml:space="preserve">Community </w:t>
      </w:r>
      <w:r w:rsidRPr="00596AAB">
        <w:rPr>
          <w:rFonts w:ascii="Arial" w:eastAsia="Times New Roman" w:hAnsi="Arial" w:cs="Arial"/>
          <w:b/>
          <w:sz w:val="24"/>
          <w:szCs w:val="24"/>
          <w:u w:val="single"/>
          <w:lang w:eastAsia="en-IE"/>
        </w:rPr>
        <w:t>Wellbeing Support</w:t>
      </w:r>
      <w:r w:rsidRPr="00596AAB">
        <w:rPr>
          <w:rFonts w:ascii="Arial" w:eastAsia="Times New Roman" w:hAnsi="Arial" w:cs="Arial"/>
          <w:sz w:val="24"/>
          <w:szCs w:val="24"/>
          <w:lang w:eastAsia="en-IE"/>
        </w:rPr>
        <w:t xml:space="preserve"> (€1.5 million available)</w:t>
      </w:r>
    </w:p>
    <w:p w:rsidR="0002225D" w:rsidRPr="00596AAB" w:rsidRDefault="0002225D" w:rsidP="0002225D">
      <w:pPr>
        <w:spacing w:line="360" w:lineRule="auto"/>
        <w:contextualSpacing/>
        <w:jc w:val="both"/>
        <w:rPr>
          <w:rFonts w:ascii="Arial" w:eastAsia="Times New Roman" w:hAnsi="Arial" w:cs="Arial"/>
          <w:b/>
          <w:sz w:val="24"/>
          <w:szCs w:val="24"/>
          <w:u w:val="single"/>
          <w:lang w:eastAsia="en-IE"/>
        </w:rPr>
      </w:pPr>
      <w:bookmarkStart w:id="0" w:name="_GoBack"/>
      <w:bookmarkEnd w:id="0"/>
    </w:p>
    <w:p w:rsidR="0002225D" w:rsidRPr="00596AAB" w:rsidRDefault="0002225D" w:rsidP="0002225D">
      <w:pPr>
        <w:spacing w:after="0" w:line="360" w:lineRule="auto"/>
        <w:ind w:firstLine="720"/>
        <w:rPr>
          <w:rFonts w:ascii="Arial" w:eastAsia="Times New Roman" w:hAnsi="Arial" w:cs="Arial"/>
          <w:sz w:val="24"/>
          <w:szCs w:val="24"/>
          <w:lang w:eastAsia="en-IE"/>
        </w:rPr>
      </w:pPr>
      <w:r w:rsidRPr="00596AAB">
        <w:rPr>
          <w:rFonts w:ascii="Arial" w:eastAsia="Times New Roman" w:hAnsi="Arial" w:cs="Arial"/>
          <w:b/>
          <w:sz w:val="24"/>
          <w:szCs w:val="24"/>
          <w:lang w:eastAsia="en-IE"/>
        </w:rPr>
        <w:tab/>
      </w:r>
      <w:r w:rsidRPr="00596AAB">
        <w:rPr>
          <w:rFonts w:ascii="Arial" w:eastAsia="Times New Roman" w:hAnsi="Arial" w:cs="Arial"/>
          <w:b/>
          <w:sz w:val="24"/>
          <w:szCs w:val="24"/>
          <w:u w:val="single"/>
          <w:lang w:eastAsia="en-IE"/>
        </w:rPr>
        <w:t>Measure 3a: Measure 3a: First Response Support</w:t>
      </w:r>
      <w:r w:rsidRPr="00596AAB">
        <w:rPr>
          <w:rFonts w:ascii="Arial" w:eastAsia="Times New Roman" w:hAnsi="Arial" w:cs="Arial"/>
          <w:sz w:val="24"/>
          <w:szCs w:val="24"/>
          <w:lang w:eastAsia="en-IE"/>
        </w:rPr>
        <w:t xml:space="preserve"> </w:t>
      </w:r>
    </w:p>
    <w:p w:rsidR="0002225D" w:rsidRPr="00596AAB" w:rsidRDefault="0002225D" w:rsidP="0002225D">
      <w:pPr>
        <w:spacing w:after="0" w:line="360" w:lineRule="auto"/>
        <w:ind w:firstLine="720"/>
        <w:rPr>
          <w:rFonts w:ascii="Arial" w:eastAsia="Times New Roman" w:hAnsi="Arial" w:cs="Arial"/>
          <w:sz w:val="24"/>
          <w:szCs w:val="24"/>
          <w:lang w:eastAsia="en-IE"/>
        </w:rPr>
      </w:pPr>
      <w:r w:rsidRPr="00596AAB">
        <w:rPr>
          <w:rFonts w:ascii="Arial" w:eastAsia="Times New Roman" w:hAnsi="Arial" w:cs="Arial"/>
          <w:sz w:val="24"/>
          <w:szCs w:val="24"/>
          <w:lang w:eastAsia="en-IE"/>
        </w:rPr>
        <w:tab/>
      </w:r>
      <w:r w:rsidRPr="00596AAB">
        <w:rPr>
          <w:rFonts w:ascii="Arial" w:eastAsia="Times New Roman" w:hAnsi="Arial" w:cs="Arial"/>
          <w:sz w:val="24"/>
          <w:szCs w:val="24"/>
          <w:lang w:eastAsia="en-IE"/>
        </w:rPr>
        <w:tab/>
        <w:t xml:space="preserve">Measure 3b: Mobility and Cancer Care Transport </w:t>
      </w:r>
    </w:p>
    <w:p w:rsidR="0002225D" w:rsidRPr="00596AAB" w:rsidRDefault="0002225D" w:rsidP="0002225D">
      <w:pPr>
        <w:spacing w:after="0" w:line="360" w:lineRule="auto"/>
        <w:ind w:firstLine="720"/>
        <w:rPr>
          <w:rFonts w:ascii="Arial" w:eastAsia="Times New Roman" w:hAnsi="Arial" w:cs="Arial"/>
          <w:sz w:val="24"/>
          <w:szCs w:val="24"/>
          <w:lang w:eastAsia="en-IE"/>
        </w:rPr>
      </w:pPr>
      <w:r w:rsidRPr="00596AAB">
        <w:rPr>
          <w:rFonts w:ascii="Arial" w:eastAsia="Times New Roman" w:hAnsi="Arial" w:cs="Arial"/>
          <w:sz w:val="24"/>
          <w:szCs w:val="24"/>
          <w:lang w:eastAsia="en-IE"/>
        </w:rPr>
        <w:tab/>
      </w:r>
      <w:r w:rsidRPr="00596AAB">
        <w:rPr>
          <w:rFonts w:ascii="Arial" w:eastAsia="Times New Roman" w:hAnsi="Arial" w:cs="Arial"/>
          <w:sz w:val="24"/>
          <w:szCs w:val="24"/>
          <w:lang w:eastAsia="en-IE"/>
        </w:rPr>
        <w:tab/>
        <w:t>Measure 3c: Sensory Gardens</w:t>
      </w:r>
    </w:p>
    <w:p w:rsidR="0002225D" w:rsidRPr="00596AAB" w:rsidRDefault="0002225D" w:rsidP="0002225D">
      <w:pPr>
        <w:spacing w:line="360" w:lineRule="auto"/>
        <w:contextualSpacing/>
        <w:jc w:val="both"/>
        <w:rPr>
          <w:rFonts w:ascii="Arial" w:eastAsia="Calibri" w:hAnsi="Arial" w:cs="Arial"/>
          <w:b/>
          <w:sz w:val="24"/>
          <w:szCs w:val="24"/>
          <w:u w:val="single"/>
        </w:rPr>
      </w:pPr>
    </w:p>
    <w:p w:rsidR="0002225D" w:rsidRPr="00596AAB" w:rsidRDefault="0002225D" w:rsidP="0002225D">
      <w:pPr>
        <w:spacing w:line="360" w:lineRule="auto"/>
        <w:ind w:left="2160" w:hanging="2160"/>
        <w:contextualSpacing/>
        <w:jc w:val="both"/>
        <w:rPr>
          <w:rFonts w:ascii="Arial" w:eastAsia="Calibri" w:hAnsi="Arial" w:cs="Arial"/>
          <w:sz w:val="24"/>
          <w:szCs w:val="24"/>
        </w:rPr>
      </w:pPr>
      <w:r w:rsidRPr="00596AAB">
        <w:rPr>
          <w:rFonts w:ascii="Arial" w:eastAsia="Calibri" w:hAnsi="Arial" w:cs="Arial"/>
          <w:sz w:val="24"/>
          <w:szCs w:val="24"/>
        </w:rPr>
        <w:t>Eligible Groups:</w:t>
      </w:r>
      <w:r w:rsidRPr="00596AAB">
        <w:rPr>
          <w:rFonts w:ascii="Arial" w:eastAsia="Calibri" w:hAnsi="Arial" w:cs="Arial"/>
          <w:sz w:val="24"/>
          <w:szCs w:val="24"/>
        </w:rPr>
        <w:tab/>
        <w:t>Emergency response organisations, which operate on a voluntary basis.</w:t>
      </w: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Max. grant rate:</w:t>
      </w:r>
      <w:r w:rsidRPr="00596AAB">
        <w:rPr>
          <w:rFonts w:ascii="Arial" w:eastAsia="Calibri" w:hAnsi="Arial" w:cs="Arial"/>
          <w:sz w:val="24"/>
          <w:szCs w:val="24"/>
        </w:rPr>
        <w:tab/>
        <w:t>85% of total cost</w:t>
      </w: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Min. grant:</w:t>
      </w:r>
      <w:r w:rsidRPr="00596AAB">
        <w:rPr>
          <w:rFonts w:ascii="Arial" w:eastAsia="Calibri" w:hAnsi="Arial" w:cs="Arial"/>
          <w:sz w:val="24"/>
          <w:szCs w:val="24"/>
        </w:rPr>
        <w:tab/>
      </w:r>
      <w:r w:rsidRPr="00596AAB">
        <w:rPr>
          <w:rFonts w:ascii="Arial" w:eastAsia="Calibri" w:hAnsi="Arial" w:cs="Arial"/>
          <w:sz w:val="24"/>
          <w:szCs w:val="24"/>
        </w:rPr>
        <w:tab/>
        <w:t>€2,000</w:t>
      </w: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Max. grant:</w:t>
      </w:r>
      <w:r w:rsidRPr="00596AAB">
        <w:rPr>
          <w:rFonts w:ascii="Arial" w:eastAsia="Calibri" w:hAnsi="Arial" w:cs="Arial"/>
          <w:sz w:val="24"/>
          <w:szCs w:val="24"/>
        </w:rPr>
        <w:tab/>
      </w:r>
      <w:r w:rsidRPr="00596AAB">
        <w:rPr>
          <w:rFonts w:ascii="Arial" w:eastAsia="Calibri" w:hAnsi="Arial" w:cs="Arial"/>
          <w:sz w:val="24"/>
          <w:szCs w:val="24"/>
        </w:rPr>
        <w:tab/>
        <w:t xml:space="preserve">€50,000 </w:t>
      </w:r>
    </w:p>
    <w:p w:rsidR="0002225D" w:rsidRPr="00596AAB" w:rsidRDefault="0002225D" w:rsidP="0002225D">
      <w:pPr>
        <w:spacing w:line="360" w:lineRule="auto"/>
        <w:contextualSpacing/>
        <w:jc w:val="both"/>
        <w:rPr>
          <w:rFonts w:ascii="Arial" w:eastAsia="Calibri" w:hAnsi="Arial" w:cs="Arial"/>
          <w:b/>
          <w:sz w:val="24"/>
          <w:szCs w:val="24"/>
        </w:rPr>
      </w:pP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b/>
          <w:sz w:val="24"/>
          <w:szCs w:val="24"/>
        </w:rPr>
        <w:t>Note:</w:t>
      </w:r>
      <w:r w:rsidRPr="00596AAB">
        <w:rPr>
          <w:rFonts w:ascii="Arial" w:eastAsia="Calibri" w:hAnsi="Arial" w:cs="Arial"/>
          <w:sz w:val="24"/>
          <w:szCs w:val="24"/>
        </w:rPr>
        <w:t xml:space="preserve"> to be limited to an overall maximum of €200,000 where multiple member groups of a national or regional organisation apply. Applications will be required to be submitted by the national organisation rather than the individual groups and in order of priority.</w:t>
      </w:r>
    </w:p>
    <w:p w:rsidR="0002225D" w:rsidRPr="00596AAB" w:rsidRDefault="0002225D" w:rsidP="0002225D">
      <w:pPr>
        <w:spacing w:line="360" w:lineRule="auto"/>
        <w:contextualSpacing/>
        <w:jc w:val="both"/>
        <w:rPr>
          <w:rFonts w:ascii="Arial" w:eastAsia="Calibri" w:hAnsi="Arial" w:cs="Arial"/>
          <w:sz w:val="24"/>
          <w:szCs w:val="24"/>
        </w:rPr>
      </w:pP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Administration:</w:t>
      </w:r>
      <w:r w:rsidRPr="00596AAB">
        <w:rPr>
          <w:rFonts w:ascii="Arial" w:eastAsia="Calibri" w:hAnsi="Arial" w:cs="Arial"/>
          <w:sz w:val="24"/>
          <w:szCs w:val="24"/>
        </w:rPr>
        <w:tab/>
        <w:t>D/RCD</w:t>
      </w:r>
    </w:p>
    <w:p w:rsidR="0002225D" w:rsidRPr="00596AAB" w:rsidRDefault="0002225D" w:rsidP="0002225D">
      <w:pPr>
        <w:spacing w:after="0" w:line="360" w:lineRule="auto"/>
        <w:contextualSpacing/>
        <w:jc w:val="both"/>
        <w:rPr>
          <w:rFonts w:ascii="Arial" w:eastAsia="Calibri" w:hAnsi="Arial" w:cs="Arial"/>
          <w:sz w:val="24"/>
          <w:szCs w:val="24"/>
        </w:rPr>
      </w:pPr>
    </w:p>
    <w:p w:rsidR="0002225D" w:rsidRPr="00596AAB" w:rsidRDefault="0002225D" w:rsidP="0002225D">
      <w:pPr>
        <w:spacing w:after="0" w:line="360" w:lineRule="auto"/>
        <w:contextualSpacing/>
        <w:jc w:val="both"/>
        <w:rPr>
          <w:rFonts w:ascii="Arial" w:eastAsia="Calibri" w:hAnsi="Arial" w:cs="Arial"/>
          <w:sz w:val="24"/>
          <w:szCs w:val="24"/>
        </w:rPr>
      </w:pPr>
      <w:r w:rsidRPr="00596AAB">
        <w:rPr>
          <w:rFonts w:ascii="Arial" w:eastAsia="Calibri" w:hAnsi="Arial" w:cs="Arial"/>
          <w:sz w:val="24"/>
          <w:szCs w:val="24"/>
        </w:rPr>
        <w:t>Payment arrangements: In arrears but may include a small number of phased payments.</w:t>
      </w:r>
      <w:r w:rsidRPr="00596AAB">
        <w:rPr>
          <w:rFonts w:ascii="Arial" w:eastAsia="Calibri" w:hAnsi="Arial" w:cs="Arial"/>
          <w:sz w:val="24"/>
          <w:szCs w:val="24"/>
        </w:rPr>
        <w:tab/>
      </w:r>
    </w:p>
    <w:p w:rsidR="0002225D" w:rsidRPr="00596AAB" w:rsidRDefault="0002225D" w:rsidP="0002225D">
      <w:pPr>
        <w:spacing w:line="360" w:lineRule="auto"/>
        <w:contextualSpacing/>
        <w:jc w:val="both"/>
        <w:rPr>
          <w:rFonts w:ascii="Arial" w:eastAsia="Calibri" w:hAnsi="Arial" w:cs="Arial"/>
          <w:b/>
          <w:sz w:val="24"/>
          <w:szCs w:val="24"/>
          <w:u w:val="single"/>
        </w:rPr>
      </w:pP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Recognising the critical role that first responders play in communities, particularly in the context of rescue efforts from remote and often hard to reach rural areas, CLÁR 201</w:t>
      </w:r>
      <w:r>
        <w:rPr>
          <w:rFonts w:ascii="Arial" w:eastAsia="Calibri" w:hAnsi="Arial" w:cs="Arial"/>
          <w:sz w:val="24"/>
          <w:szCs w:val="24"/>
        </w:rPr>
        <w:t>9</w:t>
      </w:r>
      <w:r w:rsidRPr="00596AAB">
        <w:rPr>
          <w:rFonts w:ascii="Arial" w:eastAsia="Calibri" w:hAnsi="Arial" w:cs="Arial"/>
          <w:sz w:val="24"/>
          <w:szCs w:val="24"/>
        </w:rPr>
        <w:t xml:space="preserve"> will consider support for formally recognised organisations that operate </w:t>
      </w:r>
      <w:r w:rsidRPr="00596AAB">
        <w:rPr>
          <w:rFonts w:ascii="Arial" w:eastAsia="Calibri" w:hAnsi="Arial" w:cs="Arial"/>
          <w:b/>
          <w:sz w:val="24"/>
          <w:szCs w:val="24"/>
        </w:rPr>
        <w:t>entirely on a voluntary basis</w:t>
      </w:r>
      <w:r w:rsidRPr="00596AAB">
        <w:rPr>
          <w:rFonts w:ascii="Arial" w:eastAsia="Calibri" w:hAnsi="Arial" w:cs="Arial"/>
          <w:sz w:val="24"/>
          <w:szCs w:val="24"/>
        </w:rPr>
        <w:t xml:space="preserve"> (Coast Guard for example would not be eligible as it is under the remit of the Department of Transport, Tourism and Sport) and is involved in emergency rescue/first response efforts, to allow for the replacement of old and/or upgrade of existing vehicles/equipment directly involved in emergency rescue/first response efforts. </w:t>
      </w:r>
    </w:p>
    <w:p w:rsidR="0002225D" w:rsidRPr="00596AAB" w:rsidRDefault="0002225D" w:rsidP="0002225D">
      <w:pPr>
        <w:spacing w:line="360" w:lineRule="auto"/>
        <w:contextualSpacing/>
        <w:jc w:val="both"/>
        <w:rPr>
          <w:rFonts w:ascii="Arial" w:eastAsia="Calibri" w:hAnsi="Arial" w:cs="Arial"/>
          <w:sz w:val="24"/>
          <w:szCs w:val="24"/>
        </w:rPr>
      </w:pP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lastRenderedPageBreak/>
        <w:t>It will be necessary for applicants to demonstrate that the majority of their activities relate to emergency/first response/rescue situations as distinct from more routine, non-emergency, situations.</w:t>
      </w: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 xml:space="preserve"> </w:t>
      </w: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 xml:space="preserve">In the normal course CLÁR eligibility is based on projects being physically located within a designated CLÁR DED. Given the nature of the activities envisaged as well as the need to travel considerable distances in some cases to assist in rescue efforts and the need to maintain vehicles/equipment in practical/convenient locations, eligibility in this instance will be based on the ‘catchment area’ being served by the equipment and by demonstrating that the majority (at least 80%) of the need can be attributed to CLÁR DED’s. </w:t>
      </w:r>
    </w:p>
    <w:p w:rsidR="0002225D" w:rsidRPr="00596AAB" w:rsidRDefault="0002225D" w:rsidP="0002225D">
      <w:pPr>
        <w:spacing w:line="360" w:lineRule="auto"/>
        <w:contextualSpacing/>
        <w:jc w:val="both"/>
        <w:rPr>
          <w:rFonts w:ascii="Arial" w:eastAsia="Calibri" w:hAnsi="Arial" w:cs="Arial"/>
          <w:sz w:val="24"/>
          <w:szCs w:val="24"/>
        </w:rPr>
      </w:pP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Organisations such as those described above should submit detailed costs and supporting documentation that provides a clear evidence base for the assistance being requested, directly to the Department.</w:t>
      </w:r>
    </w:p>
    <w:p w:rsidR="0002225D" w:rsidRPr="00596AAB" w:rsidRDefault="0002225D" w:rsidP="0002225D">
      <w:pPr>
        <w:spacing w:line="360" w:lineRule="auto"/>
        <w:contextualSpacing/>
        <w:jc w:val="both"/>
        <w:rPr>
          <w:rFonts w:ascii="Arial" w:eastAsia="Calibri" w:hAnsi="Arial" w:cs="Arial"/>
          <w:sz w:val="24"/>
          <w:szCs w:val="24"/>
        </w:rPr>
      </w:pP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 xml:space="preserve">The scheme will provide up to 85% of the total cost or a maximum of €50,000, whichever is the lesser.  Match funding element of 15% is required.  </w:t>
      </w:r>
    </w:p>
    <w:p w:rsidR="0002225D" w:rsidRPr="00596AAB" w:rsidRDefault="0002225D" w:rsidP="0002225D">
      <w:pPr>
        <w:spacing w:line="360" w:lineRule="auto"/>
        <w:contextualSpacing/>
        <w:jc w:val="both"/>
        <w:rPr>
          <w:rFonts w:ascii="Arial" w:eastAsia="Calibri" w:hAnsi="Arial" w:cs="Arial"/>
          <w:sz w:val="24"/>
          <w:szCs w:val="24"/>
        </w:rPr>
      </w:pP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In addition, it is proposed that where several member groups of an organistion that operates regionally or nationally e.g. Red Cross, Order of Malta etc., intend to submit applications, that the applications should be submitted by the parent organisation in order of that organisations priority and that an overall limit of €200k may be applied, subject to available funding.</w:t>
      </w:r>
    </w:p>
    <w:p w:rsidR="0002225D" w:rsidRPr="00596AAB" w:rsidRDefault="0002225D" w:rsidP="0002225D">
      <w:pPr>
        <w:rPr>
          <w:rFonts w:ascii="Arial" w:eastAsia="Calibri" w:hAnsi="Arial" w:cs="Arial"/>
          <w:sz w:val="24"/>
          <w:szCs w:val="24"/>
        </w:rPr>
      </w:pPr>
      <w:r w:rsidRPr="00596AAB">
        <w:rPr>
          <w:rFonts w:ascii="Arial" w:eastAsia="Calibri" w:hAnsi="Arial" w:cs="Arial"/>
          <w:sz w:val="24"/>
          <w:szCs w:val="24"/>
        </w:rPr>
        <w:br w:type="page"/>
      </w:r>
    </w:p>
    <w:p w:rsidR="0002225D" w:rsidRPr="00596AAB" w:rsidRDefault="0002225D" w:rsidP="0002225D">
      <w:pPr>
        <w:spacing w:line="360" w:lineRule="auto"/>
        <w:contextualSpacing/>
        <w:jc w:val="both"/>
        <w:rPr>
          <w:rFonts w:ascii="Arial" w:eastAsia="Times New Roman" w:hAnsi="Arial" w:cs="Arial"/>
          <w:b/>
          <w:sz w:val="24"/>
          <w:szCs w:val="24"/>
          <w:u w:val="single"/>
          <w:lang w:eastAsia="en-IE"/>
        </w:rPr>
      </w:pPr>
      <w:r w:rsidRPr="00596AAB">
        <w:rPr>
          <w:rFonts w:ascii="Arial" w:eastAsia="Calibri" w:hAnsi="Arial" w:cs="Arial"/>
          <w:sz w:val="24"/>
          <w:szCs w:val="24"/>
        </w:rPr>
        <w:lastRenderedPageBreak/>
        <w:tab/>
      </w:r>
      <w:r w:rsidRPr="00596AAB">
        <w:rPr>
          <w:rFonts w:ascii="Arial" w:eastAsia="Calibri" w:hAnsi="Arial" w:cs="Arial"/>
          <w:sz w:val="24"/>
          <w:szCs w:val="24"/>
        </w:rPr>
        <w:tab/>
      </w:r>
      <w:r w:rsidRPr="00596AAB">
        <w:rPr>
          <w:rFonts w:ascii="Arial" w:eastAsia="Times New Roman" w:hAnsi="Arial" w:cs="Arial"/>
          <w:b/>
          <w:sz w:val="24"/>
          <w:szCs w:val="24"/>
          <w:u w:val="single"/>
          <w:lang w:eastAsia="en-IE"/>
        </w:rPr>
        <w:t>Measure 3b: Mobility and Cancer Care Transport</w:t>
      </w:r>
    </w:p>
    <w:p w:rsidR="0002225D" w:rsidRPr="00596AAB" w:rsidRDefault="0002225D" w:rsidP="0002225D">
      <w:pPr>
        <w:spacing w:line="360" w:lineRule="auto"/>
        <w:contextualSpacing/>
        <w:jc w:val="both"/>
        <w:rPr>
          <w:rFonts w:ascii="Arial" w:eastAsia="Times New Roman" w:hAnsi="Arial" w:cs="Arial"/>
          <w:b/>
          <w:sz w:val="24"/>
          <w:szCs w:val="24"/>
          <w:u w:val="single"/>
          <w:lang w:eastAsia="en-IE"/>
        </w:rPr>
      </w:pPr>
    </w:p>
    <w:p w:rsidR="0002225D" w:rsidRPr="00596AAB" w:rsidRDefault="0002225D" w:rsidP="0002225D">
      <w:pPr>
        <w:spacing w:line="360" w:lineRule="auto"/>
        <w:ind w:left="2160" w:hanging="2160"/>
        <w:contextualSpacing/>
        <w:jc w:val="both"/>
        <w:rPr>
          <w:rFonts w:ascii="Arial" w:eastAsia="Calibri" w:hAnsi="Arial" w:cs="Arial"/>
          <w:sz w:val="24"/>
          <w:szCs w:val="24"/>
        </w:rPr>
      </w:pPr>
      <w:r w:rsidRPr="00596AAB">
        <w:rPr>
          <w:rFonts w:ascii="Arial" w:eastAsia="Calibri" w:hAnsi="Arial" w:cs="Arial"/>
          <w:sz w:val="24"/>
          <w:szCs w:val="24"/>
        </w:rPr>
        <w:t>Eligible Groups:</w:t>
      </w:r>
      <w:r w:rsidRPr="00596AAB">
        <w:rPr>
          <w:rFonts w:ascii="Arial" w:eastAsia="Calibri" w:hAnsi="Arial" w:cs="Arial"/>
          <w:sz w:val="24"/>
          <w:szCs w:val="24"/>
        </w:rPr>
        <w:tab/>
        <w:t xml:space="preserve">The measure is open to established, voluntary organisations/groups that operate </w:t>
      </w:r>
      <w:r w:rsidRPr="00596AAB">
        <w:rPr>
          <w:rFonts w:ascii="Arial" w:eastAsia="Calibri" w:hAnsi="Arial" w:cs="Arial"/>
          <w:b/>
          <w:sz w:val="24"/>
          <w:szCs w:val="24"/>
        </w:rPr>
        <w:t>on a voluntary basis,</w:t>
      </w:r>
      <w:r w:rsidRPr="00596AAB">
        <w:rPr>
          <w:rFonts w:ascii="Arial" w:eastAsia="Calibri" w:hAnsi="Arial" w:cs="Arial"/>
          <w:sz w:val="24"/>
          <w:szCs w:val="24"/>
        </w:rPr>
        <w:t xml:space="preserve"> and are involved in the provision of transport services, </w:t>
      </w:r>
      <w:r w:rsidRPr="00596AAB">
        <w:rPr>
          <w:rFonts w:ascii="Arial" w:eastAsia="Calibri" w:hAnsi="Arial" w:cs="Arial"/>
          <w:b/>
          <w:sz w:val="24"/>
          <w:szCs w:val="24"/>
        </w:rPr>
        <w:t>free of charge</w:t>
      </w:r>
      <w:r w:rsidRPr="00596AAB">
        <w:rPr>
          <w:rFonts w:ascii="Arial" w:eastAsia="Calibri" w:hAnsi="Arial" w:cs="Arial"/>
          <w:sz w:val="24"/>
          <w:szCs w:val="24"/>
        </w:rPr>
        <w:t>, to persons requiring wheelchair accessible vehicles to access day care/other medical/therapy/respite services and/or those requiring transport to/from hospitals for treatments under the National Cancer Care Programme</w:t>
      </w: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Amount available:</w:t>
      </w:r>
      <w:r w:rsidRPr="00596AAB">
        <w:rPr>
          <w:rFonts w:ascii="Arial" w:eastAsia="Calibri" w:hAnsi="Arial" w:cs="Arial"/>
          <w:sz w:val="24"/>
          <w:szCs w:val="24"/>
        </w:rPr>
        <w:tab/>
      </w:r>
    </w:p>
    <w:p w:rsidR="0002225D" w:rsidRPr="00596AAB" w:rsidRDefault="0002225D" w:rsidP="0002225D">
      <w:pPr>
        <w:spacing w:line="360" w:lineRule="auto"/>
        <w:ind w:left="1440" w:hanging="1440"/>
        <w:contextualSpacing/>
        <w:jc w:val="both"/>
        <w:rPr>
          <w:rFonts w:ascii="Arial" w:eastAsia="Calibri" w:hAnsi="Arial" w:cs="Arial"/>
          <w:sz w:val="24"/>
          <w:szCs w:val="24"/>
        </w:rPr>
      </w:pPr>
      <w:r w:rsidRPr="00596AAB">
        <w:rPr>
          <w:rFonts w:ascii="Arial" w:eastAsia="Calibri" w:hAnsi="Arial" w:cs="Arial"/>
          <w:sz w:val="24"/>
          <w:szCs w:val="24"/>
        </w:rPr>
        <w:t>Max. grant rate:</w:t>
      </w:r>
      <w:r w:rsidRPr="00596AAB">
        <w:rPr>
          <w:rFonts w:ascii="Arial" w:eastAsia="Calibri" w:hAnsi="Arial" w:cs="Arial"/>
          <w:sz w:val="24"/>
          <w:szCs w:val="24"/>
        </w:rPr>
        <w:tab/>
        <w:t>Up to 85% of the total cost of a vehicle/fit out subject to a maximum grant, per applicant, of €5,000 for a specialised bicycle-wheelchair, €50,000 for a wheelchair accessible vehicle or €100,000 for a bus.</w:t>
      </w:r>
    </w:p>
    <w:p w:rsidR="0002225D" w:rsidRPr="00596AAB" w:rsidRDefault="0002225D" w:rsidP="0002225D">
      <w:pPr>
        <w:spacing w:line="360" w:lineRule="auto"/>
        <w:contextualSpacing/>
        <w:jc w:val="both"/>
        <w:rPr>
          <w:rFonts w:ascii="Arial" w:eastAsia="Calibri" w:hAnsi="Arial" w:cs="Arial"/>
          <w:sz w:val="24"/>
          <w:szCs w:val="24"/>
        </w:rPr>
      </w:pP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Min. grant:</w:t>
      </w:r>
      <w:r w:rsidRPr="00596AAB">
        <w:rPr>
          <w:rFonts w:ascii="Arial" w:eastAsia="Calibri" w:hAnsi="Arial" w:cs="Arial"/>
          <w:sz w:val="24"/>
          <w:szCs w:val="24"/>
        </w:rPr>
        <w:tab/>
      </w:r>
      <w:r w:rsidRPr="00596AAB">
        <w:rPr>
          <w:rFonts w:ascii="Arial" w:eastAsia="Calibri" w:hAnsi="Arial" w:cs="Arial"/>
          <w:sz w:val="24"/>
          <w:szCs w:val="24"/>
        </w:rPr>
        <w:tab/>
        <w:t>€2,000</w:t>
      </w: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Max. grant:</w:t>
      </w:r>
      <w:r w:rsidRPr="00596AAB">
        <w:rPr>
          <w:rFonts w:ascii="Arial" w:eastAsia="Calibri" w:hAnsi="Arial" w:cs="Arial"/>
          <w:sz w:val="24"/>
          <w:szCs w:val="24"/>
        </w:rPr>
        <w:tab/>
      </w:r>
      <w:r w:rsidRPr="00596AAB">
        <w:rPr>
          <w:rFonts w:ascii="Arial" w:eastAsia="Calibri" w:hAnsi="Arial" w:cs="Arial"/>
          <w:sz w:val="24"/>
          <w:szCs w:val="24"/>
        </w:rPr>
        <w:tab/>
        <w:t xml:space="preserve">€5,000/€50,000/€100,000 </w:t>
      </w: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Administration:</w:t>
      </w:r>
      <w:r w:rsidRPr="00596AAB">
        <w:rPr>
          <w:rFonts w:ascii="Arial" w:eastAsia="Calibri" w:hAnsi="Arial" w:cs="Arial"/>
          <w:sz w:val="24"/>
          <w:szCs w:val="24"/>
        </w:rPr>
        <w:tab/>
        <w:t>D/RCD</w:t>
      </w:r>
    </w:p>
    <w:p w:rsidR="0002225D" w:rsidRPr="00596AAB" w:rsidRDefault="0002225D" w:rsidP="0002225D">
      <w:pPr>
        <w:spacing w:after="0" w:line="360" w:lineRule="auto"/>
        <w:contextualSpacing/>
        <w:jc w:val="both"/>
        <w:rPr>
          <w:rFonts w:ascii="Arial" w:eastAsia="Calibri" w:hAnsi="Arial" w:cs="Arial"/>
          <w:sz w:val="24"/>
          <w:szCs w:val="24"/>
        </w:rPr>
      </w:pPr>
    </w:p>
    <w:p w:rsidR="0002225D" w:rsidRPr="00596AAB" w:rsidRDefault="0002225D" w:rsidP="0002225D">
      <w:pPr>
        <w:spacing w:after="0" w:line="360" w:lineRule="auto"/>
        <w:contextualSpacing/>
        <w:jc w:val="both"/>
        <w:rPr>
          <w:rFonts w:ascii="Arial" w:eastAsia="Calibri" w:hAnsi="Arial" w:cs="Arial"/>
          <w:sz w:val="24"/>
          <w:szCs w:val="24"/>
        </w:rPr>
      </w:pPr>
      <w:r w:rsidRPr="00596AAB">
        <w:rPr>
          <w:rFonts w:ascii="Arial" w:eastAsia="Calibri" w:hAnsi="Arial" w:cs="Arial"/>
          <w:sz w:val="24"/>
          <w:szCs w:val="24"/>
        </w:rPr>
        <w:t>Payment arrangements: In arrears but may include a small number of phased payments.</w:t>
      </w:r>
      <w:r w:rsidRPr="00596AAB">
        <w:rPr>
          <w:rFonts w:ascii="Arial" w:eastAsia="Calibri" w:hAnsi="Arial" w:cs="Arial"/>
          <w:sz w:val="24"/>
          <w:szCs w:val="24"/>
        </w:rPr>
        <w:tab/>
      </w:r>
    </w:p>
    <w:p w:rsidR="0002225D" w:rsidRPr="00596AAB" w:rsidRDefault="0002225D" w:rsidP="0002225D">
      <w:pPr>
        <w:spacing w:line="360" w:lineRule="auto"/>
        <w:contextualSpacing/>
        <w:jc w:val="both"/>
        <w:rPr>
          <w:rFonts w:ascii="Arial" w:eastAsia="Calibri" w:hAnsi="Arial" w:cs="Arial"/>
          <w:b/>
          <w:sz w:val="24"/>
          <w:szCs w:val="24"/>
          <w:u w:val="single"/>
        </w:rPr>
      </w:pP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Recognising the critical role that volunteer organisations play in the provision of vital services to vulnerable sectors of the community; the Department plan to once provide funding to qualifying, voluntary, organisations that provide;</w:t>
      </w:r>
    </w:p>
    <w:p w:rsidR="0002225D" w:rsidRPr="00596AAB" w:rsidRDefault="0002225D" w:rsidP="0002225D">
      <w:pPr>
        <w:numPr>
          <w:ilvl w:val="0"/>
          <w:numId w:val="1"/>
        </w:numPr>
        <w:spacing w:line="360" w:lineRule="auto"/>
        <w:contextualSpacing/>
        <w:jc w:val="both"/>
        <w:rPr>
          <w:rFonts w:ascii="Arial" w:eastAsia="Calibri" w:hAnsi="Arial" w:cs="Arial"/>
          <w:sz w:val="24"/>
          <w:szCs w:val="24"/>
        </w:rPr>
      </w:pPr>
      <w:r w:rsidRPr="00596AAB">
        <w:rPr>
          <w:rFonts w:ascii="Arial" w:eastAsia="Calibri" w:hAnsi="Arial" w:cs="Arial"/>
          <w:sz w:val="24"/>
          <w:szCs w:val="24"/>
        </w:rPr>
        <w:t>transport to/from day care/other medical/therapy/respite services for those with significant mobility issues including, requiring specialised wheelchair accessible vehicles or</w:t>
      </w:r>
    </w:p>
    <w:p w:rsidR="0002225D" w:rsidRPr="00596AAB" w:rsidRDefault="0002225D" w:rsidP="0002225D">
      <w:pPr>
        <w:numPr>
          <w:ilvl w:val="0"/>
          <w:numId w:val="1"/>
        </w:numPr>
        <w:spacing w:line="360" w:lineRule="auto"/>
        <w:contextualSpacing/>
        <w:jc w:val="both"/>
        <w:rPr>
          <w:rFonts w:ascii="Arial" w:eastAsia="Calibri" w:hAnsi="Arial" w:cs="Arial"/>
          <w:sz w:val="24"/>
          <w:szCs w:val="24"/>
        </w:rPr>
      </w:pPr>
      <w:r w:rsidRPr="00596AAB">
        <w:rPr>
          <w:rFonts w:ascii="Arial" w:eastAsia="Calibri" w:hAnsi="Arial" w:cs="Arial"/>
          <w:sz w:val="24"/>
          <w:szCs w:val="24"/>
        </w:rPr>
        <w:t xml:space="preserve">transport to/from designated cancer treatment hospitals/centres under the National Cancer Care Programme. </w:t>
      </w:r>
    </w:p>
    <w:p w:rsidR="0002225D" w:rsidRPr="00596AAB" w:rsidRDefault="0002225D" w:rsidP="0002225D">
      <w:pPr>
        <w:spacing w:line="360" w:lineRule="auto"/>
        <w:jc w:val="both"/>
        <w:rPr>
          <w:rFonts w:ascii="Arial" w:eastAsia="Calibri" w:hAnsi="Arial" w:cs="Arial"/>
          <w:sz w:val="24"/>
          <w:szCs w:val="24"/>
        </w:rPr>
      </w:pPr>
      <w:r w:rsidRPr="00596AAB">
        <w:rPr>
          <w:rFonts w:ascii="Arial" w:eastAsia="Calibri" w:hAnsi="Arial" w:cs="Arial"/>
          <w:sz w:val="24"/>
          <w:szCs w:val="24"/>
        </w:rPr>
        <w:t xml:space="preserve">In the normal course, CLÁR eligibility is based on being physically located within a designated CLÁR DED. Given the need to travel considerable distances, in some cases, to hospitals and other specialist facilities located in non CLÁR areas; eligibility </w:t>
      </w:r>
      <w:r w:rsidRPr="00596AAB">
        <w:rPr>
          <w:rFonts w:ascii="Arial" w:eastAsia="Calibri" w:hAnsi="Arial" w:cs="Arial"/>
          <w:sz w:val="24"/>
          <w:szCs w:val="24"/>
        </w:rPr>
        <w:lastRenderedPageBreak/>
        <w:t>for vehicle funding will be based on the ‘catchment area’ being served by the vehicles and by demonstrating that the majority (at least 80%) of the need can be attributed to CLÁR DED’s.</w:t>
      </w:r>
    </w:p>
    <w:p w:rsidR="0002225D" w:rsidRPr="00596AAB" w:rsidRDefault="0002225D" w:rsidP="0002225D">
      <w:pPr>
        <w:spacing w:line="360" w:lineRule="auto"/>
        <w:jc w:val="both"/>
        <w:rPr>
          <w:rFonts w:ascii="Arial" w:eastAsia="Calibri" w:hAnsi="Arial" w:cs="Arial"/>
          <w:sz w:val="24"/>
          <w:szCs w:val="24"/>
        </w:rPr>
      </w:pPr>
      <w:r w:rsidRPr="00596AAB">
        <w:rPr>
          <w:rFonts w:ascii="Arial" w:eastAsia="Calibri" w:hAnsi="Arial" w:cs="Arial"/>
          <w:sz w:val="24"/>
          <w:szCs w:val="24"/>
        </w:rPr>
        <w:t>In the case of special needs bicycles/tricycles for people with a disability or limitation, it will be necessary to confirm that the cycle will be based in a CLÁR area and that at least 80% of its clientele reside in a CLÁR area.</w:t>
      </w:r>
    </w:p>
    <w:p w:rsidR="0002225D" w:rsidRPr="00596AAB" w:rsidRDefault="0002225D" w:rsidP="0002225D">
      <w:pPr>
        <w:spacing w:line="360" w:lineRule="auto"/>
        <w:jc w:val="center"/>
        <w:rPr>
          <w:rFonts w:ascii="Arial" w:eastAsia="Times New Roman" w:hAnsi="Arial" w:cs="Arial"/>
          <w:b/>
          <w:sz w:val="24"/>
          <w:szCs w:val="24"/>
          <w:u w:val="single"/>
          <w:lang w:eastAsia="en-IE"/>
        </w:rPr>
      </w:pPr>
      <w:r w:rsidRPr="00596AAB">
        <w:rPr>
          <w:rFonts w:ascii="Arial" w:eastAsia="Times New Roman" w:hAnsi="Arial" w:cs="Arial"/>
          <w:b/>
          <w:sz w:val="24"/>
          <w:szCs w:val="24"/>
          <w:u w:val="single"/>
          <w:lang w:eastAsia="en-IE"/>
        </w:rPr>
        <w:t>Measure 3c: Sensory Gardens</w:t>
      </w:r>
    </w:p>
    <w:p w:rsidR="0002225D" w:rsidRPr="00596AAB" w:rsidRDefault="0002225D" w:rsidP="0002225D">
      <w:pPr>
        <w:spacing w:line="360" w:lineRule="auto"/>
        <w:ind w:left="2160" w:hanging="2160"/>
        <w:contextualSpacing/>
        <w:jc w:val="both"/>
        <w:rPr>
          <w:rFonts w:ascii="Arial" w:eastAsia="Calibri" w:hAnsi="Arial" w:cs="Arial"/>
          <w:sz w:val="24"/>
          <w:szCs w:val="24"/>
        </w:rPr>
      </w:pPr>
      <w:r w:rsidRPr="00596AAB">
        <w:rPr>
          <w:rFonts w:ascii="Arial" w:eastAsia="Calibri" w:hAnsi="Arial" w:cs="Arial"/>
          <w:sz w:val="24"/>
          <w:szCs w:val="24"/>
        </w:rPr>
        <w:t>Eligible Groups:</w:t>
      </w:r>
      <w:r w:rsidRPr="00596AAB">
        <w:rPr>
          <w:rFonts w:ascii="Arial" w:eastAsia="Calibri" w:hAnsi="Arial" w:cs="Arial"/>
          <w:sz w:val="24"/>
          <w:szCs w:val="24"/>
        </w:rPr>
        <w:tab/>
        <w:t>Relevant Community Groups and Facilities, Local Development Agencies/Companies, Local Authorities</w:t>
      </w: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Max. grant rate:</w:t>
      </w:r>
      <w:r w:rsidRPr="00596AAB">
        <w:rPr>
          <w:rFonts w:ascii="Arial" w:eastAsia="Calibri" w:hAnsi="Arial" w:cs="Arial"/>
          <w:sz w:val="24"/>
          <w:szCs w:val="24"/>
        </w:rPr>
        <w:tab/>
        <w:t>85% of total cost</w:t>
      </w: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Min. grant:</w:t>
      </w:r>
      <w:r w:rsidRPr="00596AAB">
        <w:rPr>
          <w:rFonts w:ascii="Arial" w:eastAsia="Calibri" w:hAnsi="Arial" w:cs="Arial"/>
          <w:sz w:val="24"/>
          <w:szCs w:val="24"/>
        </w:rPr>
        <w:tab/>
      </w:r>
      <w:r w:rsidRPr="00596AAB">
        <w:rPr>
          <w:rFonts w:ascii="Arial" w:eastAsia="Calibri" w:hAnsi="Arial" w:cs="Arial"/>
          <w:sz w:val="24"/>
          <w:szCs w:val="24"/>
        </w:rPr>
        <w:tab/>
        <w:t>€6,000</w:t>
      </w: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Max. grant:</w:t>
      </w:r>
      <w:r w:rsidRPr="00596AAB">
        <w:rPr>
          <w:rFonts w:ascii="Arial" w:eastAsia="Calibri" w:hAnsi="Arial" w:cs="Arial"/>
          <w:sz w:val="24"/>
          <w:szCs w:val="24"/>
        </w:rPr>
        <w:tab/>
      </w:r>
      <w:r w:rsidRPr="00596AAB">
        <w:rPr>
          <w:rFonts w:ascii="Arial" w:eastAsia="Calibri" w:hAnsi="Arial" w:cs="Arial"/>
          <w:sz w:val="24"/>
          <w:szCs w:val="24"/>
        </w:rPr>
        <w:tab/>
        <w:t xml:space="preserve">€60,000 </w:t>
      </w:r>
    </w:p>
    <w:p w:rsidR="0002225D" w:rsidRPr="00596AAB" w:rsidRDefault="0002225D" w:rsidP="0002225D">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Administration:</w:t>
      </w:r>
      <w:r w:rsidRPr="00596AAB">
        <w:rPr>
          <w:rFonts w:ascii="Arial" w:eastAsia="Calibri" w:hAnsi="Arial" w:cs="Arial"/>
          <w:sz w:val="24"/>
          <w:szCs w:val="24"/>
        </w:rPr>
        <w:tab/>
        <w:t>Local Authorities</w:t>
      </w:r>
    </w:p>
    <w:p w:rsidR="0002225D" w:rsidRPr="00596AAB" w:rsidRDefault="0002225D" w:rsidP="0002225D">
      <w:pPr>
        <w:spacing w:after="0" w:line="360" w:lineRule="auto"/>
        <w:contextualSpacing/>
        <w:jc w:val="both"/>
        <w:rPr>
          <w:rFonts w:ascii="Arial" w:eastAsia="Calibri" w:hAnsi="Arial" w:cs="Arial"/>
          <w:sz w:val="24"/>
          <w:szCs w:val="24"/>
        </w:rPr>
      </w:pPr>
    </w:p>
    <w:p w:rsidR="0002225D" w:rsidRPr="00596AAB" w:rsidRDefault="0002225D" w:rsidP="0002225D">
      <w:pPr>
        <w:spacing w:after="0" w:line="360" w:lineRule="auto"/>
        <w:contextualSpacing/>
        <w:jc w:val="both"/>
        <w:rPr>
          <w:rFonts w:ascii="Arial" w:eastAsia="Calibri" w:hAnsi="Arial" w:cs="Arial"/>
          <w:sz w:val="24"/>
          <w:szCs w:val="24"/>
        </w:rPr>
      </w:pPr>
      <w:r w:rsidRPr="00596AAB">
        <w:rPr>
          <w:rFonts w:ascii="Arial" w:eastAsia="Calibri" w:hAnsi="Arial" w:cs="Arial"/>
          <w:sz w:val="24"/>
          <w:szCs w:val="24"/>
        </w:rPr>
        <w:t>Payment arrangements: In arrears on 100% completion of project.</w:t>
      </w:r>
    </w:p>
    <w:p w:rsidR="0002225D" w:rsidRPr="00596AAB" w:rsidRDefault="0002225D" w:rsidP="0002225D">
      <w:pPr>
        <w:spacing w:after="0" w:line="360" w:lineRule="auto"/>
        <w:contextualSpacing/>
        <w:jc w:val="both"/>
        <w:rPr>
          <w:rFonts w:ascii="Arial" w:eastAsia="Calibri" w:hAnsi="Arial" w:cs="Arial"/>
          <w:sz w:val="24"/>
          <w:szCs w:val="24"/>
        </w:rPr>
      </w:pPr>
    </w:p>
    <w:p w:rsidR="0002225D" w:rsidRPr="00596AAB" w:rsidRDefault="0002225D" w:rsidP="0002225D">
      <w:pPr>
        <w:spacing w:line="360" w:lineRule="auto"/>
        <w:rPr>
          <w:rFonts w:ascii="Arial" w:hAnsi="Arial" w:cs="Arial"/>
          <w:sz w:val="24"/>
          <w:szCs w:val="24"/>
        </w:rPr>
      </w:pPr>
      <w:r w:rsidRPr="00596AAB">
        <w:rPr>
          <w:rFonts w:ascii="Arial" w:eastAsia="Calibri" w:hAnsi="Arial" w:cs="Arial"/>
          <w:sz w:val="24"/>
          <w:szCs w:val="24"/>
        </w:rPr>
        <w:t xml:space="preserve">Criteria will allow for applications for </w:t>
      </w:r>
      <w:r w:rsidRPr="00596AAB">
        <w:rPr>
          <w:rFonts w:ascii="Arial" w:eastAsia="Times New Roman" w:hAnsi="Arial" w:cs="Arial"/>
          <w:sz w:val="24"/>
          <w:szCs w:val="24"/>
          <w:lang w:eastAsia="en-IE"/>
        </w:rPr>
        <w:t>specialist sensory gardens and play equipment. The maximum level of funding for sensory garden projects will be limited to €60,000, with a requirement for match funding of at least 10% of the total cost of the project. A Local Authority or other eligible applicant may bundle a sensory garden project with a playground or MUGA project. Such projects must be located in a CLÁR area.</w:t>
      </w:r>
    </w:p>
    <w:p w:rsidR="00C85F42" w:rsidRDefault="00C85F42"/>
    <w:sectPr w:rsidR="00C85F42" w:rsidSect="00E021C8">
      <w:footerReference w:type="default" r:id="rId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608018"/>
      <w:docPartObj>
        <w:docPartGallery w:val="Page Numbers (Bottom of Page)"/>
        <w:docPartUnique/>
      </w:docPartObj>
    </w:sdtPr>
    <w:sdtEndPr>
      <w:rPr>
        <w:noProof/>
      </w:rPr>
    </w:sdtEndPr>
    <w:sdtContent>
      <w:p w:rsidR="00E021C8" w:rsidRDefault="0002225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021C8" w:rsidRDefault="0002225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32422"/>
    <w:multiLevelType w:val="hybridMultilevel"/>
    <w:tmpl w:val="C770C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F"/>
    <w:rsid w:val="0002225D"/>
    <w:rsid w:val="0081421F"/>
    <w:rsid w:val="00C85F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6782F-4BCA-496B-ACAF-B768F31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2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Kilcommons  (DRCD)</dc:creator>
  <cp:keywords/>
  <dc:description/>
  <cp:lastModifiedBy>Michelle Kilcommons  (DRCD)</cp:lastModifiedBy>
  <cp:revision>2</cp:revision>
  <dcterms:created xsi:type="dcterms:W3CDTF">2019-02-28T10:30:00Z</dcterms:created>
  <dcterms:modified xsi:type="dcterms:W3CDTF">2019-02-28T10:31:00Z</dcterms:modified>
</cp:coreProperties>
</file>