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38706" w14:textId="77777777" w:rsidR="00D53C53" w:rsidRDefault="00D53C53" w:rsidP="00D53C53"/>
    <w:p w14:paraId="2C5FBCC9" w14:textId="77777777" w:rsidR="00D53C53" w:rsidRDefault="00D53C53" w:rsidP="00D53C53"/>
    <w:p w14:paraId="6FDA290F" w14:textId="2DF0DFCC" w:rsidR="00D53C53" w:rsidRDefault="00D53C53" w:rsidP="00D53C53">
      <w:r>
        <w:rPr>
          <w:noProof/>
        </w:rPr>
        <w:drawing>
          <wp:inline distT="0" distB="0" distL="0" distR="0" wp14:anchorId="209F155E" wp14:editId="75A09E96">
            <wp:extent cx="4594860" cy="2766060"/>
            <wp:effectExtent l="0" t="0" r="15240" b="152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60D93" w14:textId="77777777" w:rsidR="00D53C53" w:rsidRDefault="00D53C53" w:rsidP="00D53C53">
      <w:pPr>
        <w:rPr>
          <w:b/>
          <w:bCs/>
        </w:rPr>
      </w:pPr>
      <w:r>
        <w:rPr>
          <w:b/>
          <w:bCs/>
        </w:rPr>
        <w:t>Graph 2: Claimants on Enhanced Illness Benefit (Covid) for more than 10 weeks who transferred over to standard Illness Benefit</w:t>
      </w:r>
    </w:p>
    <w:p w14:paraId="171D1196" w14:textId="77777777" w:rsidR="00DF0AF9" w:rsidRDefault="00DF0AF9"/>
    <w:sectPr w:rsidR="00DF0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53"/>
    <w:rsid w:val="00D53C53"/>
    <w:rsid w:val="00D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5BF68"/>
  <w15:chartTrackingRefBased/>
  <w15:docId w15:val="{5FD3AF56-8089-4D8A-B8D8-0C1D0B14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C5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9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gif@01D88F99.81EEF8C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Naughten</dc:creator>
  <cp:keywords/>
  <dc:description/>
  <cp:lastModifiedBy>Denis Naughten</cp:lastModifiedBy>
  <cp:revision>1</cp:revision>
  <dcterms:created xsi:type="dcterms:W3CDTF">2022-07-04T11:07:00Z</dcterms:created>
  <dcterms:modified xsi:type="dcterms:W3CDTF">2022-07-04T11:08:00Z</dcterms:modified>
</cp:coreProperties>
</file>